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6CCE" w:rsidRDefault="00206CCE" w:rsidP="00206CCE">
      <w:pPr>
        <w:spacing w:after="257"/>
      </w:pPr>
    </w:p>
    <w:p w:rsidR="00206CCE" w:rsidRDefault="00206CCE" w:rsidP="00206CCE">
      <w:pPr>
        <w:spacing w:after="2864"/>
        <w:jc w:val="center"/>
        <w:rPr>
          <w:b/>
          <w:bCs/>
          <w:position w:val="1"/>
          <w:sz w:val="36"/>
          <w:szCs w:val="36"/>
        </w:rPr>
      </w:pPr>
      <w:r w:rsidRPr="00380E60">
        <w:rPr>
          <w:noProof/>
        </w:rPr>
        <w:drawing>
          <wp:inline distT="0" distB="0" distL="0" distR="0" wp14:anchorId="728F9C60" wp14:editId="0A6EF109">
            <wp:extent cx="1836420" cy="183642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6420" cy="1836420"/>
                    </a:xfrm>
                    <a:prstGeom prst="rect">
                      <a:avLst/>
                    </a:prstGeom>
                    <a:noFill/>
                    <a:ln>
                      <a:noFill/>
                    </a:ln>
                  </pic:spPr>
                </pic:pic>
              </a:graphicData>
            </a:graphic>
          </wp:inline>
        </w:drawing>
      </w:r>
    </w:p>
    <w:p w:rsidR="00206CCE" w:rsidRPr="00380E60" w:rsidRDefault="00206CCE" w:rsidP="00206CCE">
      <w:pPr>
        <w:widowControl w:val="0"/>
        <w:spacing w:line="427" w:lineRule="exact"/>
        <w:jc w:val="center"/>
        <w:rPr>
          <w:sz w:val="36"/>
          <w:szCs w:val="36"/>
        </w:rPr>
      </w:pPr>
      <w:r w:rsidRPr="00380E60">
        <w:rPr>
          <w:b/>
          <w:bCs/>
          <w:position w:val="1"/>
          <w:sz w:val="36"/>
          <w:szCs w:val="36"/>
        </w:rPr>
        <w:t>Sc</w:t>
      </w:r>
      <w:r w:rsidRPr="00380E60">
        <w:rPr>
          <w:b/>
          <w:bCs/>
          <w:spacing w:val="1"/>
          <w:position w:val="1"/>
          <w:sz w:val="36"/>
          <w:szCs w:val="36"/>
        </w:rPr>
        <w:t>o</w:t>
      </w:r>
      <w:r w:rsidRPr="00380E60">
        <w:rPr>
          <w:b/>
          <w:bCs/>
          <w:position w:val="1"/>
          <w:sz w:val="36"/>
          <w:szCs w:val="36"/>
        </w:rPr>
        <w:t>tla</w:t>
      </w:r>
      <w:r w:rsidRPr="00380E60">
        <w:rPr>
          <w:b/>
          <w:bCs/>
          <w:spacing w:val="-1"/>
          <w:position w:val="1"/>
          <w:sz w:val="36"/>
          <w:szCs w:val="36"/>
        </w:rPr>
        <w:t>n</w:t>
      </w:r>
      <w:r w:rsidRPr="00380E60">
        <w:rPr>
          <w:b/>
          <w:bCs/>
          <w:position w:val="1"/>
          <w:sz w:val="36"/>
          <w:szCs w:val="36"/>
        </w:rPr>
        <w:t>d</w:t>
      </w:r>
      <w:r w:rsidRPr="00380E60">
        <w:rPr>
          <w:b/>
          <w:bCs/>
          <w:spacing w:val="-11"/>
          <w:position w:val="1"/>
          <w:sz w:val="36"/>
          <w:szCs w:val="36"/>
        </w:rPr>
        <w:t xml:space="preserve"> </w:t>
      </w:r>
      <w:r w:rsidRPr="00380E60">
        <w:rPr>
          <w:b/>
          <w:bCs/>
          <w:spacing w:val="-1"/>
          <w:position w:val="1"/>
          <w:sz w:val="36"/>
          <w:szCs w:val="36"/>
        </w:rPr>
        <w:t>D</w:t>
      </w:r>
      <w:r w:rsidRPr="00380E60">
        <w:rPr>
          <w:b/>
          <w:bCs/>
          <w:spacing w:val="1"/>
          <w:position w:val="1"/>
          <w:sz w:val="36"/>
          <w:szCs w:val="36"/>
        </w:rPr>
        <w:t>e</w:t>
      </w:r>
      <w:r w:rsidRPr="00380E60">
        <w:rPr>
          <w:b/>
          <w:bCs/>
          <w:position w:val="1"/>
          <w:sz w:val="36"/>
          <w:szCs w:val="36"/>
        </w:rPr>
        <w:t>a</w:t>
      </w:r>
      <w:r w:rsidRPr="00380E60">
        <w:rPr>
          <w:b/>
          <w:bCs/>
          <w:spacing w:val="-1"/>
          <w:position w:val="1"/>
          <w:sz w:val="36"/>
          <w:szCs w:val="36"/>
        </w:rPr>
        <w:t>ne</w:t>
      </w:r>
      <w:r w:rsidRPr="00380E60">
        <w:rPr>
          <w:b/>
          <w:bCs/>
          <w:position w:val="1"/>
          <w:sz w:val="36"/>
          <w:szCs w:val="36"/>
        </w:rPr>
        <w:t>ry</w:t>
      </w:r>
      <w:r w:rsidRPr="00380E60">
        <w:rPr>
          <w:b/>
          <w:bCs/>
          <w:spacing w:val="-4"/>
          <w:position w:val="1"/>
          <w:sz w:val="36"/>
          <w:szCs w:val="36"/>
        </w:rPr>
        <w:t xml:space="preserve"> </w:t>
      </w:r>
      <w:r w:rsidRPr="00380E60">
        <w:rPr>
          <w:b/>
          <w:bCs/>
          <w:position w:val="1"/>
          <w:sz w:val="36"/>
          <w:szCs w:val="36"/>
        </w:rPr>
        <w:t>P</w:t>
      </w:r>
      <w:r w:rsidRPr="00380E60">
        <w:rPr>
          <w:b/>
          <w:bCs/>
          <w:spacing w:val="1"/>
          <w:position w:val="1"/>
          <w:sz w:val="36"/>
          <w:szCs w:val="36"/>
        </w:rPr>
        <w:t>o</w:t>
      </w:r>
      <w:r w:rsidRPr="00380E60">
        <w:rPr>
          <w:b/>
          <w:bCs/>
          <w:position w:val="1"/>
          <w:sz w:val="36"/>
          <w:szCs w:val="36"/>
        </w:rPr>
        <w:t>li</w:t>
      </w:r>
      <w:r w:rsidRPr="00380E60">
        <w:rPr>
          <w:b/>
          <w:bCs/>
          <w:spacing w:val="1"/>
          <w:position w:val="1"/>
          <w:sz w:val="36"/>
          <w:szCs w:val="36"/>
        </w:rPr>
        <w:t>c</w:t>
      </w:r>
      <w:r w:rsidRPr="00380E60">
        <w:rPr>
          <w:b/>
          <w:bCs/>
          <w:position w:val="1"/>
          <w:sz w:val="36"/>
          <w:szCs w:val="36"/>
        </w:rPr>
        <w:t>y</w:t>
      </w:r>
      <w:r w:rsidRPr="00380E60">
        <w:rPr>
          <w:b/>
          <w:bCs/>
          <w:spacing w:val="-8"/>
          <w:position w:val="1"/>
          <w:sz w:val="36"/>
          <w:szCs w:val="36"/>
        </w:rPr>
        <w:t xml:space="preserve"> </w:t>
      </w:r>
      <w:r w:rsidRPr="00380E60">
        <w:rPr>
          <w:b/>
          <w:bCs/>
          <w:spacing w:val="-2"/>
          <w:position w:val="1"/>
          <w:sz w:val="36"/>
          <w:szCs w:val="36"/>
        </w:rPr>
        <w:t>o</w:t>
      </w:r>
      <w:r w:rsidRPr="00380E60">
        <w:rPr>
          <w:b/>
          <w:bCs/>
          <w:position w:val="1"/>
          <w:sz w:val="36"/>
          <w:szCs w:val="36"/>
        </w:rPr>
        <w:t>n</w:t>
      </w:r>
      <w:r w:rsidRPr="00380E60">
        <w:rPr>
          <w:b/>
          <w:bCs/>
          <w:spacing w:val="-2"/>
          <w:position w:val="1"/>
          <w:sz w:val="36"/>
          <w:szCs w:val="36"/>
        </w:rPr>
        <w:t xml:space="preserve"> </w:t>
      </w:r>
      <w:r w:rsidRPr="00380E60">
        <w:rPr>
          <w:b/>
          <w:bCs/>
          <w:position w:val="1"/>
          <w:sz w:val="36"/>
          <w:szCs w:val="36"/>
        </w:rPr>
        <w:t>E</w:t>
      </w:r>
      <w:r w:rsidRPr="00380E60">
        <w:rPr>
          <w:b/>
          <w:bCs/>
          <w:spacing w:val="-2"/>
          <w:position w:val="1"/>
          <w:sz w:val="36"/>
          <w:szCs w:val="36"/>
        </w:rPr>
        <w:t>n</w:t>
      </w:r>
      <w:r w:rsidRPr="00380E60">
        <w:rPr>
          <w:b/>
          <w:bCs/>
          <w:spacing w:val="-1"/>
          <w:position w:val="1"/>
          <w:sz w:val="36"/>
          <w:szCs w:val="36"/>
        </w:rPr>
        <w:t>h</w:t>
      </w:r>
      <w:r w:rsidRPr="00380E60">
        <w:rPr>
          <w:b/>
          <w:bCs/>
          <w:position w:val="1"/>
          <w:sz w:val="36"/>
          <w:szCs w:val="36"/>
        </w:rPr>
        <w:t>an</w:t>
      </w:r>
      <w:r w:rsidRPr="00380E60">
        <w:rPr>
          <w:b/>
          <w:bCs/>
          <w:spacing w:val="1"/>
          <w:position w:val="1"/>
          <w:sz w:val="36"/>
          <w:szCs w:val="36"/>
        </w:rPr>
        <w:t>c</w:t>
      </w:r>
      <w:r w:rsidRPr="00380E60">
        <w:rPr>
          <w:b/>
          <w:bCs/>
          <w:spacing w:val="-1"/>
          <w:position w:val="1"/>
          <w:sz w:val="36"/>
          <w:szCs w:val="36"/>
        </w:rPr>
        <w:t>e</w:t>
      </w:r>
      <w:r w:rsidRPr="00380E60">
        <w:rPr>
          <w:b/>
          <w:bCs/>
          <w:position w:val="1"/>
          <w:sz w:val="36"/>
          <w:szCs w:val="36"/>
        </w:rPr>
        <w:t>d</w:t>
      </w:r>
      <w:r w:rsidRPr="00380E60">
        <w:rPr>
          <w:b/>
          <w:bCs/>
          <w:spacing w:val="-11"/>
          <w:position w:val="1"/>
          <w:sz w:val="36"/>
          <w:szCs w:val="36"/>
        </w:rPr>
        <w:t xml:space="preserve"> </w:t>
      </w:r>
      <w:r w:rsidRPr="00380E60">
        <w:rPr>
          <w:b/>
          <w:bCs/>
          <w:w w:val="99"/>
          <w:position w:val="1"/>
          <w:sz w:val="36"/>
          <w:szCs w:val="36"/>
        </w:rPr>
        <w:t>Monitor</w:t>
      </w:r>
      <w:r w:rsidRPr="00380E60">
        <w:rPr>
          <w:b/>
          <w:bCs/>
          <w:spacing w:val="-2"/>
          <w:w w:val="99"/>
          <w:position w:val="1"/>
          <w:sz w:val="36"/>
          <w:szCs w:val="36"/>
        </w:rPr>
        <w:t>i</w:t>
      </w:r>
      <w:r w:rsidRPr="00380E60">
        <w:rPr>
          <w:b/>
          <w:bCs/>
          <w:spacing w:val="1"/>
          <w:w w:val="99"/>
          <w:position w:val="1"/>
          <w:sz w:val="36"/>
          <w:szCs w:val="36"/>
        </w:rPr>
        <w:t>n</w:t>
      </w:r>
      <w:r w:rsidRPr="00380E60">
        <w:rPr>
          <w:b/>
          <w:bCs/>
          <w:position w:val="1"/>
          <w:sz w:val="36"/>
          <w:szCs w:val="36"/>
        </w:rPr>
        <w:t>g</w:t>
      </w:r>
    </w:p>
    <w:p w:rsidR="00206CCE" w:rsidRPr="00380E60" w:rsidRDefault="00206CCE" w:rsidP="00206CCE">
      <w:pPr>
        <w:widowControl w:val="0"/>
        <w:spacing w:line="200" w:lineRule="exact"/>
        <w:jc w:val="center"/>
        <w:rPr>
          <w:sz w:val="20"/>
          <w:szCs w:val="20"/>
        </w:rPr>
      </w:pPr>
    </w:p>
    <w:p w:rsidR="00206CCE" w:rsidRPr="00380E60" w:rsidRDefault="00206CCE" w:rsidP="00206CCE">
      <w:pPr>
        <w:widowControl w:val="0"/>
        <w:spacing w:line="200" w:lineRule="exact"/>
        <w:jc w:val="center"/>
        <w:rPr>
          <w:sz w:val="20"/>
          <w:szCs w:val="20"/>
        </w:rPr>
      </w:pPr>
    </w:p>
    <w:p w:rsidR="00206CCE" w:rsidRPr="00380E60" w:rsidRDefault="00206CCE" w:rsidP="00206CCE">
      <w:pPr>
        <w:widowControl w:val="0"/>
        <w:spacing w:line="200" w:lineRule="exact"/>
        <w:jc w:val="center"/>
        <w:rPr>
          <w:sz w:val="20"/>
          <w:szCs w:val="20"/>
        </w:rPr>
      </w:pPr>
    </w:p>
    <w:p w:rsidR="00206CCE" w:rsidRPr="00380E60" w:rsidRDefault="00206CCE" w:rsidP="00206CCE">
      <w:pPr>
        <w:widowControl w:val="0"/>
        <w:spacing w:line="200" w:lineRule="exact"/>
        <w:jc w:val="center"/>
        <w:rPr>
          <w:sz w:val="20"/>
          <w:szCs w:val="20"/>
        </w:rPr>
      </w:pPr>
    </w:p>
    <w:p w:rsidR="00206CCE" w:rsidRPr="00380E60" w:rsidRDefault="00206CCE" w:rsidP="00206CCE">
      <w:pPr>
        <w:widowControl w:val="0"/>
        <w:jc w:val="center"/>
        <w:rPr>
          <w:sz w:val="28"/>
          <w:szCs w:val="28"/>
        </w:rPr>
      </w:pPr>
      <w:r w:rsidRPr="00380E60">
        <w:rPr>
          <w:b/>
          <w:bCs/>
          <w:sz w:val="28"/>
          <w:szCs w:val="28"/>
        </w:rPr>
        <w:t>Autho</w:t>
      </w:r>
      <w:r w:rsidRPr="00380E60">
        <w:rPr>
          <w:b/>
          <w:bCs/>
          <w:spacing w:val="-1"/>
          <w:sz w:val="28"/>
          <w:szCs w:val="28"/>
        </w:rPr>
        <w:t>r</w:t>
      </w:r>
      <w:r w:rsidRPr="00380E60">
        <w:rPr>
          <w:b/>
          <w:bCs/>
          <w:sz w:val="28"/>
          <w:szCs w:val="28"/>
        </w:rPr>
        <w:t>s</w:t>
      </w:r>
    </w:p>
    <w:p w:rsidR="00206CCE" w:rsidRPr="00380E60" w:rsidRDefault="00206CCE" w:rsidP="00206CCE">
      <w:pPr>
        <w:widowControl w:val="0"/>
        <w:spacing w:line="341" w:lineRule="exact"/>
        <w:jc w:val="center"/>
        <w:rPr>
          <w:sz w:val="28"/>
          <w:szCs w:val="28"/>
        </w:rPr>
      </w:pPr>
      <w:proofErr w:type="spellStart"/>
      <w:r w:rsidRPr="00380E60">
        <w:rPr>
          <w:b/>
          <w:bCs/>
          <w:position w:val="1"/>
          <w:sz w:val="28"/>
          <w:szCs w:val="28"/>
        </w:rPr>
        <w:t>A.</w:t>
      </w:r>
      <w:proofErr w:type="gramStart"/>
      <w:r w:rsidRPr="00380E60">
        <w:rPr>
          <w:b/>
          <w:bCs/>
          <w:position w:val="1"/>
          <w:sz w:val="28"/>
          <w:szCs w:val="28"/>
        </w:rPr>
        <w:t>R.</w:t>
      </w:r>
      <w:r w:rsidRPr="00380E60">
        <w:rPr>
          <w:b/>
          <w:bCs/>
          <w:spacing w:val="-1"/>
          <w:position w:val="1"/>
          <w:sz w:val="28"/>
          <w:szCs w:val="28"/>
        </w:rPr>
        <w:t>M</w:t>
      </w:r>
      <w:r w:rsidRPr="00380E60">
        <w:rPr>
          <w:b/>
          <w:bCs/>
          <w:position w:val="1"/>
          <w:sz w:val="28"/>
          <w:szCs w:val="28"/>
        </w:rPr>
        <w:t>c</w:t>
      </w:r>
      <w:r w:rsidRPr="00380E60">
        <w:rPr>
          <w:b/>
          <w:bCs/>
          <w:spacing w:val="-1"/>
          <w:position w:val="1"/>
          <w:sz w:val="28"/>
          <w:szCs w:val="28"/>
        </w:rPr>
        <w:t>L</w:t>
      </w:r>
      <w:r w:rsidRPr="00380E60">
        <w:rPr>
          <w:b/>
          <w:bCs/>
          <w:position w:val="1"/>
          <w:sz w:val="28"/>
          <w:szCs w:val="28"/>
        </w:rPr>
        <w:t>e</w:t>
      </w:r>
      <w:r w:rsidRPr="00380E60">
        <w:rPr>
          <w:b/>
          <w:bCs/>
          <w:spacing w:val="1"/>
          <w:position w:val="1"/>
          <w:sz w:val="28"/>
          <w:szCs w:val="28"/>
        </w:rPr>
        <w:t>l</w:t>
      </w:r>
      <w:r w:rsidRPr="00380E60">
        <w:rPr>
          <w:b/>
          <w:bCs/>
          <w:spacing w:val="-2"/>
          <w:position w:val="1"/>
          <w:sz w:val="28"/>
          <w:szCs w:val="28"/>
        </w:rPr>
        <w:t>l</w:t>
      </w:r>
      <w:r w:rsidRPr="00380E60">
        <w:rPr>
          <w:b/>
          <w:bCs/>
          <w:position w:val="1"/>
          <w:sz w:val="28"/>
          <w:szCs w:val="28"/>
        </w:rPr>
        <w:t>a</w:t>
      </w:r>
      <w:r w:rsidRPr="00380E60">
        <w:rPr>
          <w:b/>
          <w:bCs/>
          <w:spacing w:val="-1"/>
          <w:position w:val="1"/>
          <w:sz w:val="28"/>
          <w:szCs w:val="28"/>
        </w:rPr>
        <w:t>n</w:t>
      </w:r>
      <w:proofErr w:type="spellEnd"/>
      <w:proofErr w:type="gramEnd"/>
      <w:r w:rsidRPr="00380E60">
        <w:rPr>
          <w:b/>
          <w:bCs/>
          <w:position w:val="1"/>
          <w:sz w:val="28"/>
          <w:szCs w:val="28"/>
        </w:rPr>
        <w:t xml:space="preserve">, </w:t>
      </w:r>
      <w:r>
        <w:rPr>
          <w:b/>
          <w:bCs/>
          <w:position w:val="1"/>
          <w:sz w:val="28"/>
          <w:szCs w:val="28"/>
        </w:rPr>
        <w:t>Amjad Khan, Duncan Pollock &amp; Lesley Metcalf</w:t>
      </w:r>
    </w:p>
    <w:p w:rsidR="00206CCE" w:rsidRPr="00380E60" w:rsidRDefault="00206CCE" w:rsidP="00206CCE">
      <w:pPr>
        <w:widowControl w:val="0"/>
        <w:spacing w:before="7" w:line="150" w:lineRule="exact"/>
        <w:jc w:val="center"/>
        <w:rPr>
          <w:sz w:val="15"/>
          <w:szCs w:val="15"/>
        </w:rPr>
      </w:pPr>
    </w:p>
    <w:p w:rsidR="00206CCE" w:rsidRDefault="00206CCE" w:rsidP="00206CCE">
      <w:pPr>
        <w:widowControl w:val="0"/>
        <w:jc w:val="center"/>
        <w:rPr>
          <w:spacing w:val="-1"/>
          <w:sz w:val="28"/>
          <w:szCs w:val="28"/>
        </w:rPr>
      </w:pPr>
    </w:p>
    <w:p w:rsidR="00206CCE" w:rsidRDefault="00206CCE" w:rsidP="00206CCE">
      <w:pPr>
        <w:widowControl w:val="0"/>
        <w:jc w:val="center"/>
        <w:rPr>
          <w:spacing w:val="-1"/>
          <w:sz w:val="28"/>
          <w:szCs w:val="28"/>
        </w:rPr>
      </w:pPr>
    </w:p>
    <w:p w:rsidR="00206CCE" w:rsidRDefault="00206CCE" w:rsidP="00206CCE">
      <w:pPr>
        <w:widowControl w:val="0"/>
        <w:jc w:val="center"/>
        <w:rPr>
          <w:spacing w:val="-1"/>
          <w:sz w:val="28"/>
          <w:szCs w:val="28"/>
        </w:rPr>
      </w:pPr>
    </w:p>
    <w:p w:rsidR="00206CCE" w:rsidRPr="00306971" w:rsidRDefault="00206CCE" w:rsidP="00206CCE">
      <w:pPr>
        <w:widowControl w:val="0"/>
        <w:jc w:val="center"/>
        <w:rPr>
          <w:sz w:val="24"/>
          <w:szCs w:val="24"/>
        </w:rPr>
      </w:pPr>
      <w:r w:rsidRPr="00306971">
        <w:rPr>
          <w:spacing w:val="-1"/>
          <w:sz w:val="24"/>
          <w:szCs w:val="24"/>
        </w:rPr>
        <w:t>P</w:t>
      </w:r>
      <w:r w:rsidRPr="00306971">
        <w:rPr>
          <w:sz w:val="24"/>
          <w:szCs w:val="24"/>
        </w:rPr>
        <w:t>o</w:t>
      </w:r>
      <w:r w:rsidRPr="00306971">
        <w:rPr>
          <w:spacing w:val="1"/>
          <w:sz w:val="24"/>
          <w:szCs w:val="24"/>
        </w:rPr>
        <w:t>l</w:t>
      </w:r>
      <w:r w:rsidRPr="00306971">
        <w:rPr>
          <w:sz w:val="24"/>
          <w:szCs w:val="24"/>
        </w:rPr>
        <w:t>i</w:t>
      </w:r>
      <w:r w:rsidRPr="00306971">
        <w:rPr>
          <w:spacing w:val="-1"/>
          <w:sz w:val="24"/>
          <w:szCs w:val="24"/>
        </w:rPr>
        <w:t>c</w:t>
      </w:r>
      <w:r w:rsidRPr="00306971">
        <w:rPr>
          <w:sz w:val="24"/>
          <w:szCs w:val="24"/>
        </w:rPr>
        <w:t>y a</w:t>
      </w:r>
      <w:r w:rsidRPr="00306971">
        <w:rPr>
          <w:spacing w:val="-1"/>
          <w:sz w:val="24"/>
          <w:szCs w:val="24"/>
        </w:rPr>
        <w:t>pp</w:t>
      </w:r>
      <w:r w:rsidRPr="00306971">
        <w:rPr>
          <w:sz w:val="24"/>
          <w:szCs w:val="24"/>
        </w:rPr>
        <w:t>r</w:t>
      </w:r>
      <w:r w:rsidRPr="00306971">
        <w:rPr>
          <w:spacing w:val="1"/>
          <w:sz w:val="24"/>
          <w:szCs w:val="24"/>
        </w:rPr>
        <w:t>o</w:t>
      </w:r>
      <w:r w:rsidRPr="00306971">
        <w:rPr>
          <w:sz w:val="24"/>
          <w:szCs w:val="24"/>
        </w:rPr>
        <w:t>ved</w:t>
      </w:r>
      <w:r w:rsidRPr="00306971">
        <w:rPr>
          <w:spacing w:val="-2"/>
          <w:sz w:val="24"/>
          <w:szCs w:val="24"/>
        </w:rPr>
        <w:t xml:space="preserve"> </w:t>
      </w:r>
      <w:r w:rsidRPr="00306971">
        <w:rPr>
          <w:spacing w:val="-1"/>
          <w:sz w:val="24"/>
          <w:szCs w:val="24"/>
        </w:rPr>
        <w:t>b</w:t>
      </w:r>
      <w:r w:rsidRPr="00306971">
        <w:rPr>
          <w:sz w:val="24"/>
          <w:szCs w:val="24"/>
        </w:rPr>
        <w:t>y</w:t>
      </w:r>
      <w:r w:rsidRPr="00306971">
        <w:rPr>
          <w:spacing w:val="-1"/>
          <w:sz w:val="24"/>
          <w:szCs w:val="24"/>
        </w:rPr>
        <w:t xml:space="preserve"> </w:t>
      </w:r>
      <w:r w:rsidRPr="00306971">
        <w:rPr>
          <w:sz w:val="24"/>
          <w:szCs w:val="24"/>
        </w:rPr>
        <w:t xml:space="preserve">MDET </w:t>
      </w:r>
      <w:r w:rsidRPr="00306971">
        <w:rPr>
          <w:spacing w:val="-1"/>
          <w:sz w:val="24"/>
          <w:szCs w:val="24"/>
        </w:rPr>
        <w:t>14</w:t>
      </w:r>
      <w:proofErr w:type="spellStart"/>
      <w:r w:rsidRPr="00306971">
        <w:rPr>
          <w:position w:val="13"/>
          <w:sz w:val="24"/>
          <w:szCs w:val="24"/>
          <w:vertAlign w:val="superscript"/>
        </w:rPr>
        <w:t>th</w:t>
      </w:r>
      <w:proofErr w:type="spellEnd"/>
      <w:r>
        <w:rPr>
          <w:position w:val="13"/>
          <w:sz w:val="24"/>
          <w:szCs w:val="24"/>
        </w:rPr>
        <w:t xml:space="preserve"> </w:t>
      </w:r>
      <w:r w:rsidRPr="00306971">
        <w:rPr>
          <w:sz w:val="24"/>
          <w:szCs w:val="24"/>
        </w:rPr>
        <w:t>Mar</w:t>
      </w:r>
      <w:r w:rsidRPr="00306971">
        <w:rPr>
          <w:spacing w:val="-1"/>
          <w:sz w:val="24"/>
          <w:szCs w:val="24"/>
        </w:rPr>
        <w:t>c</w:t>
      </w:r>
      <w:r w:rsidRPr="00306971">
        <w:rPr>
          <w:sz w:val="24"/>
          <w:szCs w:val="24"/>
        </w:rPr>
        <w:t xml:space="preserve">h </w:t>
      </w:r>
      <w:r w:rsidRPr="00306971">
        <w:rPr>
          <w:spacing w:val="-1"/>
          <w:sz w:val="24"/>
          <w:szCs w:val="24"/>
        </w:rPr>
        <w:t>2016</w:t>
      </w:r>
    </w:p>
    <w:p w:rsidR="00206CCE" w:rsidRPr="00306971" w:rsidRDefault="00206CCE" w:rsidP="00206CCE">
      <w:pPr>
        <w:widowControl w:val="0"/>
        <w:jc w:val="center"/>
        <w:rPr>
          <w:sz w:val="24"/>
          <w:szCs w:val="24"/>
        </w:rPr>
      </w:pPr>
      <w:r w:rsidRPr="00306971">
        <w:rPr>
          <w:spacing w:val="-2"/>
          <w:position w:val="1"/>
          <w:sz w:val="24"/>
          <w:szCs w:val="24"/>
        </w:rPr>
        <w:t>1</w:t>
      </w:r>
      <w:r w:rsidRPr="00306971">
        <w:rPr>
          <w:spacing w:val="-2"/>
          <w:position w:val="1"/>
          <w:sz w:val="24"/>
          <w:szCs w:val="24"/>
          <w:vertAlign w:val="superscript"/>
        </w:rPr>
        <w:t>st</w:t>
      </w:r>
      <w:r w:rsidRPr="00306971">
        <w:rPr>
          <w:spacing w:val="-2"/>
          <w:position w:val="1"/>
          <w:sz w:val="24"/>
          <w:szCs w:val="24"/>
        </w:rPr>
        <w:t xml:space="preserve"> review 1</w:t>
      </w:r>
      <w:r w:rsidRPr="00306971">
        <w:rPr>
          <w:spacing w:val="-2"/>
          <w:position w:val="1"/>
          <w:sz w:val="24"/>
          <w:szCs w:val="24"/>
          <w:vertAlign w:val="superscript"/>
        </w:rPr>
        <w:t>st</w:t>
      </w:r>
      <w:r w:rsidRPr="00306971">
        <w:rPr>
          <w:spacing w:val="-2"/>
          <w:position w:val="1"/>
          <w:sz w:val="24"/>
          <w:szCs w:val="24"/>
        </w:rPr>
        <w:t xml:space="preserve"> September 2018</w:t>
      </w:r>
    </w:p>
    <w:p w:rsidR="00206CCE" w:rsidRPr="00306971" w:rsidRDefault="00206CCE" w:rsidP="00206CCE">
      <w:pPr>
        <w:widowControl w:val="0"/>
        <w:spacing w:line="343" w:lineRule="exact"/>
        <w:jc w:val="center"/>
        <w:rPr>
          <w:spacing w:val="-2"/>
          <w:position w:val="1"/>
          <w:sz w:val="24"/>
          <w:szCs w:val="24"/>
        </w:rPr>
      </w:pPr>
      <w:r w:rsidRPr="00306971">
        <w:rPr>
          <w:spacing w:val="-2"/>
          <w:position w:val="1"/>
          <w:sz w:val="24"/>
          <w:szCs w:val="24"/>
        </w:rPr>
        <w:t>Next review due: 1</w:t>
      </w:r>
      <w:r w:rsidRPr="00306971">
        <w:rPr>
          <w:spacing w:val="-2"/>
          <w:position w:val="1"/>
          <w:sz w:val="24"/>
          <w:szCs w:val="24"/>
          <w:vertAlign w:val="superscript"/>
        </w:rPr>
        <w:t>st</w:t>
      </w:r>
      <w:r w:rsidRPr="00306971">
        <w:rPr>
          <w:spacing w:val="-2"/>
          <w:position w:val="1"/>
          <w:sz w:val="24"/>
          <w:szCs w:val="24"/>
        </w:rPr>
        <w:t xml:space="preserve"> September 2019</w:t>
      </w:r>
    </w:p>
    <w:p w:rsidR="00206CCE" w:rsidRPr="00380E60" w:rsidRDefault="00206CCE" w:rsidP="00206CCE">
      <w:pPr>
        <w:widowControl w:val="0"/>
        <w:spacing w:line="200" w:lineRule="exact"/>
        <w:rPr>
          <w:sz w:val="20"/>
          <w:szCs w:val="20"/>
        </w:rPr>
      </w:pPr>
    </w:p>
    <w:p w:rsidR="00206CCE" w:rsidRDefault="00206CCE" w:rsidP="00206CCE">
      <w:pPr>
        <w:widowControl w:val="0"/>
        <w:spacing w:line="200" w:lineRule="exact"/>
        <w:rPr>
          <w:sz w:val="20"/>
          <w:szCs w:val="20"/>
        </w:rPr>
      </w:pPr>
    </w:p>
    <w:p w:rsidR="00206CCE" w:rsidRDefault="00206CCE" w:rsidP="00206CCE">
      <w:pPr>
        <w:widowControl w:val="0"/>
        <w:spacing w:line="200" w:lineRule="exact"/>
        <w:rPr>
          <w:sz w:val="20"/>
          <w:szCs w:val="20"/>
        </w:rPr>
      </w:pPr>
      <w:bookmarkStart w:id="0" w:name="_GoBack"/>
      <w:bookmarkEnd w:id="0"/>
    </w:p>
    <w:p w:rsidR="00206CCE" w:rsidRDefault="00206CCE" w:rsidP="00206CCE">
      <w:pPr>
        <w:widowControl w:val="0"/>
        <w:spacing w:line="200" w:lineRule="exact"/>
        <w:rPr>
          <w:sz w:val="20"/>
          <w:szCs w:val="20"/>
        </w:rPr>
      </w:pPr>
    </w:p>
    <w:p w:rsidR="00206CCE" w:rsidRPr="00380E60" w:rsidRDefault="00206CCE" w:rsidP="00206CCE">
      <w:pPr>
        <w:widowControl w:val="0"/>
        <w:spacing w:line="200" w:lineRule="exact"/>
        <w:rPr>
          <w:sz w:val="20"/>
          <w:szCs w:val="20"/>
        </w:rPr>
      </w:pPr>
    </w:p>
    <w:p w:rsidR="00206CCE" w:rsidRPr="002147B9" w:rsidRDefault="00206CCE" w:rsidP="00206CCE">
      <w:pPr>
        <w:spacing w:before="283" w:line="320" w:lineRule="exact"/>
        <w:ind w:right="72"/>
        <w:textAlignment w:val="baseline"/>
        <w:rPr>
          <w:rFonts w:asciiTheme="minorHAnsi" w:eastAsia="Tahoma" w:hAnsiTheme="minorHAnsi"/>
          <w:b/>
          <w:sz w:val="24"/>
        </w:rPr>
      </w:pPr>
      <w:r w:rsidRPr="002147B9">
        <w:rPr>
          <w:rFonts w:asciiTheme="minorHAnsi" w:eastAsia="Tahoma" w:hAnsiTheme="minorHAnsi"/>
          <w:b/>
          <w:sz w:val="24"/>
        </w:rPr>
        <w:lastRenderedPageBreak/>
        <w:t xml:space="preserve">When enhanced monitoring </w:t>
      </w:r>
      <w:r>
        <w:rPr>
          <w:rFonts w:asciiTheme="minorHAnsi" w:eastAsia="Tahoma" w:hAnsiTheme="minorHAnsi"/>
          <w:b/>
          <w:sz w:val="24"/>
        </w:rPr>
        <w:t xml:space="preserve">should </w:t>
      </w:r>
      <w:r w:rsidRPr="002147B9">
        <w:rPr>
          <w:rFonts w:asciiTheme="minorHAnsi" w:eastAsia="Tahoma" w:hAnsiTheme="minorHAnsi"/>
          <w:b/>
          <w:sz w:val="24"/>
        </w:rPr>
        <w:t>b</w:t>
      </w:r>
      <w:r>
        <w:rPr>
          <w:rFonts w:asciiTheme="minorHAnsi" w:eastAsia="Tahoma" w:hAnsiTheme="minorHAnsi"/>
          <w:b/>
          <w:sz w:val="24"/>
        </w:rPr>
        <w:t>e considered</w:t>
      </w:r>
    </w:p>
    <w:p w:rsidR="00206CCE" w:rsidRPr="009647FE" w:rsidRDefault="00206CCE" w:rsidP="00206CCE">
      <w:pPr>
        <w:spacing w:before="283" w:line="320" w:lineRule="exact"/>
        <w:ind w:right="72"/>
        <w:textAlignment w:val="baseline"/>
        <w:rPr>
          <w:rFonts w:asciiTheme="minorHAnsi" w:eastAsia="Tahoma" w:hAnsiTheme="minorHAnsi"/>
          <w:sz w:val="24"/>
        </w:rPr>
      </w:pPr>
      <w:r w:rsidRPr="009647FE">
        <w:rPr>
          <w:rFonts w:asciiTheme="minorHAnsi" w:eastAsia="Tahoma" w:hAnsiTheme="minorHAnsi"/>
          <w:sz w:val="24"/>
        </w:rPr>
        <w:t xml:space="preserve">An issue can be escalated to enhanced monitoring </w:t>
      </w:r>
      <w:proofErr w:type="gramStart"/>
      <w:r w:rsidRPr="009647FE">
        <w:rPr>
          <w:rFonts w:asciiTheme="minorHAnsi" w:eastAsia="Tahoma" w:hAnsiTheme="minorHAnsi"/>
          <w:sz w:val="24"/>
        </w:rPr>
        <w:t>as a result of</w:t>
      </w:r>
      <w:proofErr w:type="gramEnd"/>
      <w:r w:rsidRPr="009647FE">
        <w:rPr>
          <w:rFonts w:asciiTheme="minorHAnsi" w:eastAsia="Tahoma" w:hAnsiTheme="minorHAnsi"/>
          <w:sz w:val="24"/>
        </w:rPr>
        <w:t xml:space="preserve"> recommendation from the Deanery or because of the GMC’s own evidence.</w:t>
      </w:r>
    </w:p>
    <w:p w:rsidR="00206CCE" w:rsidRPr="009647FE" w:rsidRDefault="00206CCE" w:rsidP="00206CCE">
      <w:pPr>
        <w:spacing w:before="99" w:line="320" w:lineRule="exact"/>
        <w:ind w:right="144"/>
        <w:textAlignment w:val="baseline"/>
        <w:rPr>
          <w:rFonts w:asciiTheme="minorHAnsi" w:eastAsia="Tahoma" w:hAnsiTheme="minorHAnsi"/>
          <w:sz w:val="24"/>
        </w:rPr>
      </w:pPr>
      <w:r w:rsidRPr="009647FE">
        <w:rPr>
          <w:rFonts w:asciiTheme="minorHAnsi" w:eastAsia="Tahoma" w:hAnsiTheme="minorHAnsi"/>
          <w:sz w:val="24"/>
        </w:rPr>
        <w:t>Escalation to enhanced monitoring by the Deanery should be considered in response to issues falling into at least one the following scenarios:</w:t>
      </w:r>
    </w:p>
    <w:p w:rsidR="00206CCE" w:rsidRPr="00124522" w:rsidRDefault="00206CCE" w:rsidP="00206CCE">
      <w:pPr>
        <w:pStyle w:val="ListParagraph"/>
        <w:numPr>
          <w:ilvl w:val="0"/>
          <w:numId w:val="4"/>
        </w:numPr>
        <w:spacing w:after="0" w:line="240" w:lineRule="auto"/>
        <w:rPr>
          <w:rFonts w:asciiTheme="minorHAnsi" w:eastAsia="Tahoma" w:hAnsiTheme="minorHAnsi"/>
          <w:sz w:val="24"/>
        </w:rPr>
      </w:pPr>
      <w:r w:rsidRPr="00124522">
        <w:rPr>
          <w:rFonts w:asciiTheme="minorHAnsi" w:eastAsia="Tahoma" w:hAnsiTheme="minorHAnsi"/>
          <w:sz w:val="24"/>
        </w:rPr>
        <w:t>Persistent and/or serious patient safety concerns</w:t>
      </w:r>
    </w:p>
    <w:p w:rsidR="00206CCE" w:rsidRPr="00124522" w:rsidRDefault="00206CCE" w:rsidP="00206CCE">
      <w:pPr>
        <w:pStyle w:val="ListParagraph"/>
        <w:numPr>
          <w:ilvl w:val="0"/>
          <w:numId w:val="4"/>
        </w:numPr>
        <w:spacing w:after="0" w:line="240" w:lineRule="auto"/>
        <w:rPr>
          <w:rFonts w:asciiTheme="minorHAnsi" w:eastAsia="Tahoma" w:hAnsiTheme="minorHAnsi"/>
          <w:sz w:val="24"/>
        </w:rPr>
      </w:pPr>
      <w:r w:rsidRPr="00124522">
        <w:rPr>
          <w:rFonts w:asciiTheme="minorHAnsi" w:eastAsia="Tahoma" w:hAnsiTheme="minorHAnsi"/>
          <w:sz w:val="24"/>
        </w:rPr>
        <w:t>Persistent and/or serious concerns for the safety or well-being of doctors in training</w:t>
      </w:r>
    </w:p>
    <w:p w:rsidR="00206CCE" w:rsidRPr="00124522" w:rsidRDefault="00206CCE" w:rsidP="00206CCE">
      <w:pPr>
        <w:pStyle w:val="ListParagraph"/>
        <w:numPr>
          <w:ilvl w:val="0"/>
          <w:numId w:val="4"/>
        </w:numPr>
        <w:spacing w:after="0" w:line="240" w:lineRule="auto"/>
        <w:rPr>
          <w:rFonts w:asciiTheme="minorHAnsi" w:eastAsia="Tahoma" w:hAnsiTheme="minorHAnsi"/>
          <w:sz w:val="24"/>
        </w:rPr>
      </w:pPr>
      <w:r w:rsidRPr="00124522">
        <w:rPr>
          <w:rFonts w:asciiTheme="minorHAnsi" w:eastAsia="Tahoma" w:hAnsiTheme="minorHAnsi"/>
          <w:sz w:val="24"/>
        </w:rPr>
        <w:t xml:space="preserve">Evidence indicates that the quality of the training environment is seriously and/or persistently below GMC standards </w:t>
      </w:r>
    </w:p>
    <w:p w:rsidR="00206CCE" w:rsidRPr="00124522" w:rsidRDefault="00206CCE" w:rsidP="00206CCE">
      <w:pPr>
        <w:pStyle w:val="ListParagraph"/>
        <w:numPr>
          <w:ilvl w:val="0"/>
          <w:numId w:val="4"/>
        </w:numPr>
        <w:spacing w:after="0" w:line="240" w:lineRule="auto"/>
        <w:rPr>
          <w:rFonts w:asciiTheme="minorHAnsi" w:eastAsia="Tahoma" w:hAnsiTheme="minorHAnsi"/>
          <w:sz w:val="24"/>
        </w:rPr>
      </w:pPr>
      <w:r w:rsidRPr="00124522">
        <w:rPr>
          <w:rFonts w:asciiTheme="minorHAnsi" w:eastAsia="Tahoma" w:hAnsiTheme="minorHAnsi"/>
          <w:sz w:val="24"/>
        </w:rPr>
        <w:t>Concerns with persistent and serious risks to the safety of patient and/or doctors in training</w:t>
      </w:r>
    </w:p>
    <w:p w:rsidR="00206CCE" w:rsidRPr="009647FE" w:rsidRDefault="00206CCE" w:rsidP="00206CCE">
      <w:pPr>
        <w:tabs>
          <w:tab w:val="left" w:pos="936"/>
        </w:tabs>
        <w:spacing w:before="282" w:line="320" w:lineRule="exact"/>
        <w:ind w:right="864"/>
        <w:textAlignment w:val="baseline"/>
        <w:rPr>
          <w:rFonts w:asciiTheme="minorHAnsi" w:eastAsia="Tahoma" w:hAnsiTheme="minorHAnsi"/>
          <w:sz w:val="24"/>
        </w:rPr>
      </w:pPr>
      <w:r w:rsidRPr="009647FE">
        <w:rPr>
          <w:rFonts w:asciiTheme="minorHAnsi" w:eastAsia="Tahoma" w:hAnsiTheme="minorHAnsi"/>
          <w:sz w:val="24"/>
        </w:rPr>
        <w:t>At least one of two additional factors must also apply:</w:t>
      </w:r>
    </w:p>
    <w:p w:rsidR="00206CCE" w:rsidRPr="00B959C0" w:rsidRDefault="00206CCE" w:rsidP="00206CCE">
      <w:pPr>
        <w:pStyle w:val="ListParagraph"/>
        <w:numPr>
          <w:ilvl w:val="0"/>
          <w:numId w:val="4"/>
        </w:numPr>
        <w:spacing w:after="0" w:line="240" w:lineRule="auto"/>
        <w:rPr>
          <w:rFonts w:asciiTheme="minorHAnsi" w:eastAsia="Tahoma" w:hAnsiTheme="minorHAnsi"/>
          <w:sz w:val="24"/>
        </w:rPr>
      </w:pPr>
      <w:r w:rsidRPr="00B959C0">
        <w:rPr>
          <w:rFonts w:asciiTheme="minorHAnsi" w:eastAsia="Tahoma" w:hAnsiTheme="minorHAnsi"/>
          <w:sz w:val="24"/>
        </w:rPr>
        <w:t>Local quality management processes alone are insufficient to address the issue</w:t>
      </w:r>
    </w:p>
    <w:p w:rsidR="00206CCE" w:rsidRPr="00B959C0" w:rsidRDefault="00206CCE" w:rsidP="00206CCE">
      <w:pPr>
        <w:pStyle w:val="ListParagraph"/>
        <w:numPr>
          <w:ilvl w:val="0"/>
          <w:numId w:val="4"/>
        </w:numPr>
        <w:spacing w:after="0" w:line="240" w:lineRule="auto"/>
        <w:rPr>
          <w:rFonts w:asciiTheme="minorHAnsi" w:eastAsia="Tahoma" w:hAnsiTheme="minorHAnsi"/>
          <w:sz w:val="24"/>
        </w:rPr>
      </w:pPr>
      <w:r w:rsidRPr="00B959C0">
        <w:rPr>
          <w:rFonts w:asciiTheme="minorHAnsi" w:eastAsia="Tahoma" w:hAnsiTheme="minorHAnsi"/>
          <w:sz w:val="24"/>
        </w:rPr>
        <w:t>Safety concerns are so serious as to warrant enhanced monitoring, irrespective of local actions</w:t>
      </w:r>
    </w:p>
    <w:p w:rsidR="00206CCE" w:rsidRPr="009647FE" w:rsidRDefault="00206CCE" w:rsidP="00206CCE">
      <w:pPr>
        <w:spacing w:before="280" w:line="320" w:lineRule="exact"/>
        <w:ind w:right="72"/>
        <w:textAlignment w:val="baseline"/>
        <w:rPr>
          <w:rFonts w:asciiTheme="minorHAnsi" w:eastAsia="Tahoma" w:hAnsiTheme="minorHAnsi"/>
          <w:b/>
          <w:sz w:val="24"/>
        </w:rPr>
      </w:pPr>
      <w:r w:rsidRPr="009647FE">
        <w:rPr>
          <w:rFonts w:asciiTheme="minorHAnsi" w:eastAsia="Tahoma" w:hAnsiTheme="minorHAnsi"/>
          <w:b/>
          <w:sz w:val="24"/>
        </w:rPr>
        <w:t>How to escalate to enhanced monitoring</w:t>
      </w:r>
    </w:p>
    <w:p w:rsidR="00206CCE" w:rsidRPr="009647FE" w:rsidRDefault="00206CCE" w:rsidP="00206CCE">
      <w:pPr>
        <w:pStyle w:val="ListParagraph"/>
        <w:numPr>
          <w:ilvl w:val="0"/>
          <w:numId w:val="1"/>
        </w:numPr>
        <w:spacing w:before="280" w:after="0" w:line="320" w:lineRule="exact"/>
        <w:ind w:right="72"/>
        <w:textAlignment w:val="baseline"/>
        <w:rPr>
          <w:rFonts w:asciiTheme="minorHAnsi" w:eastAsia="Tahoma" w:hAnsiTheme="minorHAnsi"/>
          <w:b/>
          <w:sz w:val="24"/>
        </w:rPr>
      </w:pPr>
      <w:r w:rsidRPr="009647FE">
        <w:rPr>
          <w:rFonts w:asciiTheme="minorHAnsi" w:eastAsia="Tahoma" w:hAnsiTheme="minorHAnsi"/>
          <w:sz w:val="24"/>
        </w:rPr>
        <w:t xml:space="preserve">The LDD of the sQMG that determined that the issue has met the above criteria should discuss potential escalation with the </w:t>
      </w:r>
      <w:bookmarkStart w:id="1" w:name="_Hlk521059621"/>
      <w:r w:rsidRPr="009647FE">
        <w:rPr>
          <w:rFonts w:asciiTheme="minorHAnsi" w:eastAsia="Tahoma" w:hAnsiTheme="minorHAnsi"/>
          <w:sz w:val="24"/>
        </w:rPr>
        <w:t xml:space="preserve">GMC’s QA programme manager for Scotland </w:t>
      </w:r>
      <w:bookmarkEnd w:id="1"/>
      <w:r w:rsidRPr="009647FE">
        <w:rPr>
          <w:rFonts w:asciiTheme="minorHAnsi" w:eastAsia="Tahoma" w:hAnsiTheme="minorHAnsi"/>
          <w:sz w:val="24"/>
        </w:rPr>
        <w:t>(Robin Benstead). The following information will facilitate the discussion:</w:t>
      </w:r>
    </w:p>
    <w:p w:rsidR="00206CCE" w:rsidRPr="009647FE" w:rsidRDefault="00206CCE" w:rsidP="00206CCE">
      <w:pPr>
        <w:pStyle w:val="ListParagraph"/>
        <w:numPr>
          <w:ilvl w:val="0"/>
          <w:numId w:val="2"/>
        </w:numPr>
        <w:tabs>
          <w:tab w:val="left" w:pos="936"/>
        </w:tabs>
        <w:spacing w:after="0" w:line="320" w:lineRule="exact"/>
        <w:ind w:left="1800" w:right="862"/>
        <w:textAlignment w:val="baseline"/>
        <w:rPr>
          <w:rFonts w:asciiTheme="minorHAnsi" w:eastAsia="Tahoma" w:hAnsiTheme="minorHAnsi"/>
          <w:sz w:val="24"/>
        </w:rPr>
      </w:pPr>
      <w:r w:rsidRPr="009647FE">
        <w:rPr>
          <w:rFonts w:asciiTheme="minorHAnsi" w:eastAsia="Tahoma" w:hAnsiTheme="minorHAnsi"/>
          <w:sz w:val="24"/>
        </w:rPr>
        <w:t>Date the issue was identified</w:t>
      </w:r>
    </w:p>
    <w:p w:rsidR="00206CCE" w:rsidRPr="009647FE" w:rsidRDefault="00206CCE" w:rsidP="00206CCE">
      <w:pPr>
        <w:pStyle w:val="ListParagraph"/>
        <w:numPr>
          <w:ilvl w:val="0"/>
          <w:numId w:val="2"/>
        </w:numPr>
        <w:tabs>
          <w:tab w:val="left" w:pos="360"/>
          <w:tab w:val="left" w:pos="936"/>
        </w:tabs>
        <w:spacing w:after="0" w:line="320" w:lineRule="exact"/>
        <w:ind w:left="1800" w:right="862"/>
        <w:textAlignment w:val="baseline"/>
        <w:rPr>
          <w:rFonts w:asciiTheme="minorHAnsi" w:eastAsia="Tahoma" w:hAnsiTheme="minorHAnsi"/>
          <w:sz w:val="24"/>
        </w:rPr>
      </w:pPr>
      <w:r w:rsidRPr="009647FE">
        <w:rPr>
          <w:rFonts w:asciiTheme="minorHAnsi" w:eastAsia="Tahoma" w:hAnsiTheme="minorHAnsi"/>
          <w:sz w:val="24"/>
        </w:rPr>
        <w:t>The Health Board and the site</w:t>
      </w:r>
    </w:p>
    <w:p w:rsidR="00206CCE" w:rsidRPr="009647FE" w:rsidRDefault="00206CCE" w:rsidP="00206CCE">
      <w:pPr>
        <w:pStyle w:val="ListParagraph"/>
        <w:numPr>
          <w:ilvl w:val="0"/>
          <w:numId w:val="2"/>
        </w:numPr>
        <w:tabs>
          <w:tab w:val="left" w:pos="360"/>
          <w:tab w:val="left" w:pos="936"/>
        </w:tabs>
        <w:spacing w:after="0" w:line="320" w:lineRule="exact"/>
        <w:ind w:left="1800" w:right="862"/>
        <w:textAlignment w:val="baseline"/>
        <w:rPr>
          <w:rFonts w:asciiTheme="minorHAnsi" w:eastAsia="Tahoma" w:hAnsiTheme="minorHAnsi"/>
          <w:sz w:val="24"/>
        </w:rPr>
      </w:pPr>
      <w:r w:rsidRPr="009647FE">
        <w:rPr>
          <w:rFonts w:asciiTheme="minorHAnsi" w:eastAsia="Tahoma" w:hAnsiTheme="minorHAnsi"/>
          <w:sz w:val="24"/>
        </w:rPr>
        <w:t>The curriculum/specialty affected</w:t>
      </w:r>
    </w:p>
    <w:p w:rsidR="00206CCE" w:rsidRPr="009647FE" w:rsidRDefault="00206CCE" w:rsidP="00206CCE">
      <w:pPr>
        <w:pStyle w:val="ListParagraph"/>
        <w:numPr>
          <w:ilvl w:val="0"/>
          <w:numId w:val="2"/>
        </w:numPr>
        <w:tabs>
          <w:tab w:val="left" w:pos="360"/>
          <w:tab w:val="left" w:pos="936"/>
        </w:tabs>
        <w:spacing w:after="0" w:line="320" w:lineRule="exact"/>
        <w:ind w:left="1800" w:right="862"/>
        <w:textAlignment w:val="baseline"/>
        <w:rPr>
          <w:rFonts w:asciiTheme="minorHAnsi" w:eastAsia="Tahoma" w:hAnsiTheme="minorHAnsi"/>
          <w:sz w:val="24"/>
        </w:rPr>
      </w:pPr>
      <w:r w:rsidRPr="009647FE">
        <w:rPr>
          <w:rFonts w:asciiTheme="minorHAnsi" w:eastAsia="Tahoma" w:hAnsiTheme="minorHAnsi"/>
          <w:sz w:val="24"/>
        </w:rPr>
        <w:t>The group/s of doctors affected (e.g. Foundation, Core, GPST and/or Higher)</w:t>
      </w:r>
    </w:p>
    <w:p w:rsidR="00206CCE" w:rsidRPr="009647FE" w:rsidRDefault="00206CCE" w:rsidP="00206CCE">
      <w:pPr>
        <w:pStyle w:val="ListParagraph"/>
        <w:numPr>
          <w:ilvl w:val="0"/>
          <w:numId w:val="2"/>
        </w:numPr>
        <w:tabs>
          <w:tab w:val="left" w:pos="360"/>
          <w:tab w:val="left" w:pos="936"/>
        </w:tabs>
        <w:spacing w:after="0" w:line="320" w:lineRule="exact"/>
        <w:ind w:left="1800" w:right="862"/>
        <w:textAlignment w:val="baseline"/>
        <w:rPr>
          <w:rFonts w:asciiTheme="minorHAnsi" w:eastAsia="Tahoma" w:hAnsiTheme="minorHAnsi"/>
          <w:sz w:val="24"/>
        </w:rPr>
      </w:pPr>
      <w:r w:rsidRPr="009647FE">
        <w:rPr>
          <w:rFonts w:asciiTheme="minorHAnsi" w:eastAsia="Tahoma" w:hAnsiTheme="minorHAnsi"/>
          <w:sz w:val="24"/>
        </w:rPr>
        <w:t>Whether there are both medical students and doctors in training in the department</w:t>
      </w:r>
    </w:p>
    <w:p w:rsidR="00206CCE" w:rsidRPr="009647FE" w:rsidRDefault="00206CCE" w:rsidP="00206CCE">
      <w:pPr>
        <w:pStyle w:val="ListParagraph"/>
        <w:numPr>
          <w:ilvl w:val="0"/>
          <w:numId w:val="2"/>
        </w:numPr>
        <w:tabs>
          <w:tab w:val="left" w:pos="360"/>
          <w:tab w:val="left" w:pos="936"/>
        </w:tabs>
        <w:spacing w:after="0" w:line="320" w:lineRule="exact"/>
        <w:ind w:left="1800" w:right="862"/>
        <w:textAlignment w:val="baseline"/>
        <w:rPr>
          <w:rFonts w:asciiTheme="minorHAnsi" w:eastAsia="Tahoma" w:hAnsiTheme="minorHAnsi"/>
          <w:sz w:val="24"/>
        </w:rPr>
      </w:pPr>
      <w:r w:rsidRPr="009647FE">
        <w:rPr>
          <w:rFonts w:asciiTheme="minorHAnsi" w:eastAsia="Tahoma" w:hAnsiTheme="minorHAnsi"/>
          <w:sz w:val="24"/>
        </w:rPr>
        <w:t>Contextual information about the issue including: how it was identified, actions taken hitherto – with dates / timelines and outcomes, why escalation is necessary</w:t>
      </w:r>
    </w:p>
    <w:p w:rsidR="00206CCE" w:rsidRPr="009647FE" w:rsidRDefault="00206CCE" w:rsidP="00206CCE">
      <w:pPr>
        <w:pStyle w:val="ListParagraph"/>
        <w:numPr>
          <w:ilvl w:val="0"/>
          <w:numId w:val="2"/>
        </w:numPr>
        <w:tabs>
          <w:tab w:val="left" w:pos="360"/>
          <w:tab w:val="left" w:pos="936"/>
        </w:tabs>
        <w:spacing w:after="0" w:line="320" w:lineRule="exact"/>
        <w:ind w:left="1800" w:right="862"/>
        <w:textAlignment w:val="baseline"/>
        <w:rPr>
          <w:rFonts w:asciiTheme="minorHAnsi" w:eastAsia="Tahoma" w:hAnsiTheme="minorHAnsi"/>
          <w:sz w:val="24"/>
        </w:rPr>
      </w:pPr>
      <w:r w:rsidRPr="009647FE">
        <w:rPr>
          <w:rFonts w:asciiTheme="minorHAnsi" w:eastAsia="Tahoma" w:hAnsiTheme="minorHAnsi"/>
          <w:sz w:val="24"/>
        </w:rPr>
        <w:t xml:space="preserve">Which specific requirements listed within the GMC standards are not being met and that need to be addressed through enhanced monitoring </w:t>
      </w:r>
    </w:p>
    <w:p w:rsidR="00206CCE" w:rsidRPr="009647FE" w:rsidRDefault="00206CCE" w:rsidP="00206CCE">
      <w:pPr>
        <w:pStyle w:val="ListParagraph"/>
        <w:tabs>
          <w:tab w:val="left" w:pos="360"/>
          <w:tab w:val="left" w:pos="936"/>
        </w:tabs>
        <w:spacing w:line="320" w:lineRule="exact"/>
        <w:ind w:left="1800" w:right="862"/>
        <w:textAlignment w:val="baseline"/>
        <w:rPr>
          <w:rFonts w:asciiTheme="minorHAnsi" w:eastAsia="Tahoma" w:hAnsiTheme="minorHAnsi"/>
          <w:sz w:val="24"/>
        </w:rPr>
      </w:pPr>
    </w:p>
    <w:p w:rsidR="00206CCE" w:rsidRPr="009647FE" w:rsidRDefault="00206CCE" w:rsidP="00206CCE">
      <w:pPr>
        <w:pStyle w:val="ListParagraph"/>
        <w:numPr>
          <w:ilvl w:val="0"/>
          <w:numId w:val="1"/>
        </w:numPr>
        <w:spacing w:before="280" w:after="0" w:line="320" w:lineRule="exact"/>
        <w:ind w:right="72"/>
        <w:textAlignment w:val="baseline"/>
        <w:rPr>
          <w:rFonts w:asciiTheme="minorHAnsi" w:eastAsia="Tahoma" w:hAnsiTheme="minorHAnsi"/>
          <w:sz w:val="24"/>
        </w:rPr>
      </w:pPr>
      <w:r w:rsidRPr="009647FE">
        <w:rPr>
          <w:rFonts w:asciiTheme="minorHAnsi" w:eastAsia="Tahoma" w:hAnsiTheme="minorHAnsi"/>
          <w:sz w:val="24"/>
        </w:rPr>
        <w:t>The GMC will process the request, subjecting it to a ‘risk rating’ process and review by an internal committee.  The GMC will advise us of the outcome within 10 days. The GMC will confirm next steps and when they will expect updates.</w:t>
      </w:r>
    </w:p>
    <w:p w:rsidR="00206CCE" w:rsidRPr="009647FE" w:rsidRDefault="00206CCE" w:rsidP="00206CCE">
      <w:pPr>
        <w:pStyle w:val="ListParagraph"/>
        <w:spacing w:before="280" w:line="320" w:lineRule="exact"/>
        <w:ind w:right="72"/>
        <w:textAlignment w:val="baseline"/>
        <w:rPr>
          <w:rFonts w:asciiTheme="minorHAnsi" w:eastAsia="Tahoma" w:hAnsiTheme="minorHAnsi"/>
          <w:sz w:val="24"/>
        </w:rPr>
      </w:pPr>
    </w:p>
    <w:p w:rsidR="00206CCE" w:rsidRPr="009647FE" w:rsidRDefault="00206CCE" w:rsidP="00206CCE">
      <w:pPr>
        <w:pStyle w:val="ListParagraph"/>
        <w:numPr>
          <w:ilvl w:val="0"/>
          <w:numId w:val="1"/>
        </w:numPr>
        <w:spacing w:before="280" w:after="0" w:line="320" w:lineRule="exact"/>
        <w:ind w:right="72"/>
        <w:textAlignment w:val="baseline"/>
        <w:rPr>
          <w:rFonts w:asciiTheme="minorHAnsi" w:eastAsia="Tahoma" w:hAnsiTheme="minorHAnsi"/>
          <w:sz w:val="24"/>
        </w:rPr>
      </w:pPr>
      <w:r w:rsidRPr="009647FE">
        <w:rPr>
          <w:rFonts w:asciiTheme="minorHAnsi" w:eastAsia="Tahoma" w:hAnsiTheme="minorHAnsi"/>
          <w:sz w:val="24"/>
        </w:rPr>
        <w:t xml:space="preserve">After confirming escalation to enhanced monitoring, the GMC may request further information to plug any gaps in their </w:t>
      </w:r>
      <w:proofErr w:type="gramStart"/>
      <w:r w:rsidRPr="009647FE">
        <w:rPr>
          <w:rFonts w:asciiTheme="minorHAnsi" w:eastAsia="Tahoma" w:hAnsiTheme="minorHAnsi"/>
          <w:sz w:val="24"/>
        </w:rPr>
        <w:t>record, and</w:t>
      </w:r>
      <w:proofErr w:type="gramEnd"/>
      <w:r w:rsidRPr="009647FE">
        <w:rPr>
          <w:rFonts w:asciiTheme="minorHAnsi" w:eastAsia="Tahoma" w:hAnsiTheme="minorHAnsi"/>
          <w:sz w:val="24"/>
        </w:rPr>
        <w:t xml:space="preserve"> will ask for key contact details </w:t>
      </w:r>
      <w:proofErr w:type="spellStart"/>
      <w:r w:rsidRPr="009647FE">
        <w:rPr>
          <w:rFonts w:asciiTheme="minorHAnsi" w:eastAsia="Tahoma" w:hAnsiTheme="minorHAnsi"/>
          <w:sz w:val="24"/>
        </w:rPr>
        <w:t>eg</w:t>
      </w:r>
      <w:proofErr w:type="spellEnd"/>
      <w:r w:rsidRPr="009647FE">
        <w:rPr>
          <w:rFonts w:asciiTheme="minorHAnsi" w:eastAsia="Tahoma" w:hAnsiTheme="minorHAnsi"/>
          <w:sz w:val="24"/>
        </w:rPr>
        <w:t xml:space="preserve"> of the Medical Director, Director of Medical Education and Chair of the Health Board</w:t>
      </w:r>
      <w:r>
        <w:rPr>
          <w:rFonts w:asciiTheme="minorHAnsi" w:eastAsia="Tahoma" w:hAnsiTheme="minorHAnsi"/>
          <w:sz w:val="24"/>
        </w:rPr>
        <w:t xml:space="preserve"> </w:t>
      </w:r>
      <w:r w:rsidRPr="009647FE">
        <w:rPr>
          <w:rFonts w:asciiTheme="minorHAnsi" w:eastAsia="Tahoma" w:hAnsiTheme="minorHAnsi"/>
          <w:sz w:val="24"/>
        </w:rPr>
        <w:t xml:space="preserve">concerned. The GMC will then write to the Health Board (copying in the NES Medical Director and the regional Postgraduate Dean) to confirm the issue has been escalated to enhanced monitoring. </w:t>
      </w:r>
    </w:p>
    <w:p w:rsidR="00206CCE" w:rsidRPr="009647FE" w:rsidRDefault="00206CCE" w:rsidP="00206CCE">
      <w:pPr>
        <w:pStyle w:val="ListParagraph"/>
        <w:rPr>
          <w:rFonts w:asciiTheme="minorHAnsi" w:eastAsia="Tahoma" w:hAnsiTheme="minorHAnsi"/>
          <w:sz w:val="24"/>
        </w:rPr>
      </w:pPr>
    </w:p>
    <w:p w:rsidR="00206CCE" w:rsidRPr="009647FE" w:rsidRDefault="00206CCE" w:rsidP="00206CCE">
      <w:pPr>
        <w:pStyle w:val="ListParagraph"/>
        <w:numPr>
          <w:ilvl w:val="0"/>
          <w:numId w:val="1"/>
        </w:numPr>
        <w:spacing w:before="280" w:after="0" w:line="320" w:lineRule="exact"/>
        <w:ind w:right="72"/>
        <w:textAlignment w:val="baseline"/>
        <w:rPr>
          <w:rFonts w:asciiTheme="minorHAnsi" w:eastAsia="Tahoma" w:hAnsiTheme="minorHAnsi"/>
          <w:sz w:val="24"/>
        </w:rPr>
      </w:pPr>
      <w:r w:rsidRPr="009647FE">
        <w:rPr>
          <w:rFonts w:asciiTheme="minorHAnsi" w:eastAsia="Tahoma" w:hAnsiTheme="minorHAnsi"/>
          <w:sz w:val="24"/>
        </w:rPr>
        <w:t xml:space="preserve">Escalation to enhanced monitoring needs to be documented in the Online Dean’s Report (ODR) by the QIM of the sQMG taking ownership. If the item is already on the ODR with an existing QA code </w:t>
      </w:r>
      <w:r w:rsidRPr="009647FE">
        <w:rPr>
          <w:rFonts w:asciiTheme="minorHAnsi" w:eastAsia="Tahoma" w:hAnsiTheme="minorHAnsi"/>
          <w:sz w:val="24"/>
        </w:rPr>
        <w:lastRenderedPageBreak/>
        <w:t xml:space="preserve">the entry should be updated to reflect escalation to enhanced monitoring. If this is a new </w:t>
      </w:r>
      <w:proofErr w:type="gramStart"/>
      <w:r w:rsidRPr="009647FE">
        <w:rPr>
          <w:rFonts w:asciiTheme="minorHAnsi" w:eastAsia="Tahoma" w:hAnsiTheme="minorHAnsi"/>
          <w:sz w:val="24"/>
        </w:rPr>
        <w:t>item</w:t>
      </w:r>
      <w:proofErr w:type="gramEnd"/>
      <w:r w:rsidRPr="009647FE">
        <w:rPr>
          <w:rFonts w:asciiTheme="minorHAnsi" w:eastAsia="Tahoma" w:hAnsiTheme="minorHAnsi"/>
          <w:sz w:val="24"/>
        </w:rPr>
        <w:t xml:space="preserve"> it should be entered on the ODR and a unique code will be assigned later. </w:t>
      </w:r>
    </w:p>
    <w:p w:rsidR="00206CCE" w:rsidRPr="009647FE" w:rsidRDefault="00206CCE" w:rsidP="00206CCE">
      <w:pPr>
        <w:pStyle w:val="ListParagraph"/>
        <w:rPr>
          <w:rFonts w:asciiTheme="minorHAnsi" w:eastAsia="Tahoma" w:hAnsiTheme="minorHAnsi"/>
          <w:sz w:val="24"/>
        </w:rPr>
      </w:pPr>
    </w:p>
    <w:p w:rsidR="00206CCE" w:rsidRDefault="00206CCE" w:rsidP="00206CCE">
      <w:pPr>
        <w:pStyle w:val="ListParagraph"/>
        <w:numPr>
          <w:ilvl w:val="0"/>
          <w:numId w:val="1"/>
        </w:numPr>
        <w:spacing w:before="280" w:after="0" w:line="320" w:lineRule="exact"/>
        <w:ind w:right="72"/>
        <w:textAlignment w:val="baseline"/>
        <w:rPr>
          <w:rFonts w:asciiTheme="minorHAnsi" w:eastAsia="Tahoma" w:hAnsiTheme="minorHAnsi"/>
          <w:sz w:val="24"/>
        </w:rPr>
      </w:pPr>
      <w:r w:rsidRPr="009647FE">
        <w:rPr>
          <w:rFonts w:asciiTheme="minorHAnsi" w:eastAsia="Tahoma" w:hAnsiTheme="minorHAnsi"/>
          <w:sz w:val="24"/>
        </w:rPr>
        <w:t>The GMC will expect us to confirm our intentions around action planning</w:t>
      </w:r>
      <w:r>
        <w:rPr>
          <w:rFonts w:asciiTheme="minorHAnsi" w:eastAsia="Tahoma" w:hAnsiTheme="minorHAnsi"/>
          <w:sz w:val="24"/>
        </w:rPr>
        <w:t>,</w:t>
      </w:r>
      <w:r w:rsidRPr="009647FE">
        <w:rPr>
          <w:rFonts w:asciiTheme="minorHAnsi" w:eastAsia="Tahoma" w:hAnsiTheme="minorHAnsi"/>
          <w:sz w:val="24"/>
        </w:rPr>
        <w:t xml:space="preserve"> monitoring and visit scheduling. This will enable the GMC to determine the support they can provide. The GMC will also discuss their expectations around the timing of updates on the ODR (updates on enhanced monitoring concerns are expected after any significant local quality management activity). If the GMC has agreed with us that we will share a specific piece of information (e.g. action plan update), this would usually be expected within 5 working days of the Deanery receiving it. The maximum interval between updates is 6 months but for higher risk cases the GMC will expect updates more frequently.</w:t>
      </w:r>
    </w:p>
    <w:p w:rsidR="00206CCE" w:rsidRPr="00640694" w:rsidRDefault="00206CCE" w:rsidP="00206CCE">
      <w:pPr>
        <w:pStyle w:val="ListParagraph"/>
        <w:rPr>
          <w:rFonts w:asciiTheme="minorHAnsi" w:eastAsia="Tahoma" w:hAnsiTheme="minorHAnsi"/>
          <w:sz w:val="24"/>
        </w:rPr>
      </w:pPr>
    </w:p>
    <w:p w:rsidR="00206CCE" w:rsidRPr="001F1BE6" w:rsidRDefault="00206CCE" w:rsidP="00206CCE">
      <w:pPr>
        <w:pStyle w:val="ListParagraph"/>
        <w:numPr>
          <w:ilvl w:val="0"/>
          <w:numId w:val="1"/>
        </w:numPr>
        <w:spacing w:before="280" w:after="0" w:line="320" w:lineRule="exact"/>
        <w:ind w:right="74"/>
        <w:rPr>
          <w:rFonts w:asciiTheme="minorHAnsi" w:eastAsia="Tahoma" w:hAnsiTheme="minorHAnsi"/>
          <w:sz w:val="24"/>
        </w:rPr>
      </w:pPr>
      <w:r w:rsidRPr="00640694">
        <w:rPr>
          <w:rFonts w:asciiTheme="minorHAnsi" w:eastAsia="Tahoma" w:hAnsiTheme="minorHAnsi"/>
          <w:b/>
          <w:sz w:val="24"/>
        </w:rPr>
        <w:t>The need to remove doctors in training, having identified the need for enhanced monitoring.</w:t>
      </w:r>
      <w:r w:rsidRPr="00640694">
        <w:rPr>
          <w:rFonts w:asciiTheme="minorHAnsi" w:eastAsia="Tahoma" w:hAnsiTheme="minorHAnsi"/>
          <w:sz w:val="24"/>
        </w:rPr>
        <w:t xml:space="preserve">  It may</w:t>
      </w:r>
      <w:r>
        <w:rPr>
          <w:rFonts w:asciiTheme="minorHAnsi" w:eastAsia="Tahoma" w:hAnsiTheme="minorHAnsi"/>
          <w:sz w:val="24"/>
        </w:rPr>
        <w:t xml:space="preserve"> </w:t>
      </w:r>
      <w:r w:rsidRPr="00640694">
        <w:rPr>
          <w:rFonts w:asciiTheme="minorHAnsi" w:eastAsia="Tahoma" w:hAnsiTheme="minorHAnsi"/>
          <w:sz w:val="24"/>
        </w:rPr>
        <w:t>be necessary</w:t>
      </w:r>
      <w:r>
        <w:rPr>
          <w:rFonts w:asciiTheme="minorHAnsi" w:eastAsia="Tahoma" w:hAnsiTheme="minorHAnsi"/>
          <w:sz w:val="24"/>
        </w:rPr>
        <w:t xml:space="preserve"> for the Dean (LDD) to remove doctors in training from training environments that are subject to, or will be subject to enhanced monitoring, in some circumstances </w:t>
      </w:r>
      <w:proofErr w:type="spellStart"/>
      <w:r>
        <w:rPr>
          <w:rFonts w:asciiTheme="minorHAnsi" w:eastAsia="Tahoma" w:hAnsiTheme="minorHAnsi"/>
          <w:sz w:val="24"/>
        </w:rPr>
        <w:t>eg</w:t>
      </w:r>
      <w:proofErr w:type="spellEnd"/>
      <w:r>
        <w:rPr>
          <w:rFonts w:asciiTheme="minorHAnsi" w:eastAsia="Tahoma" w:hAnsiTheme="minorHAnsi"/>
          <w:sz w:val="24"/>
        </w:rPr>
        <w:t xml:space="preserve"> concerns around safety of patient care or of doctors in training within a training environment because of lack of robust arrangements around clinical supervision. </w:t>
      </w:r>
      <w:r w:rsidRPr="001F1BE6">
        <w:rPr>
          <w:rFonts w:asciiTheme="minorHAnsi" w:eastAsia="Tahoma" w:hAnsiTheme="minorHAnsi"/>
          <w:b/>
          <w:sz w:val="24"/>
        </w:rPr>
        <w:t>The GMC’s processes can be tardy and inflexible, and the GMC expects LDDs to take swift action to remove trainees from situations of immediate risk</w:t>
      </w:r>
      <w:r>
        <w:rPr>
          <w:rFonts w:asciiTheme="minorHAnsi" w:eastAsia="Tahoma" w:hAnsiTheme="minorHAnsi"/>
          <w:b/>
          <w:sz w:val="24"/>
        </w:rPr>
        <w:t xml:space="preserve"> where </w:t>
      </w:r>
      <w:proofErr w:type="gramStart"/>
      <w:r>
        <w:rPr>
          <w:rFonts w:asciiTheme="minorHAnsi" w:eastAsia="Tahoma" w:hAnsiTheme="minorHAnsi"/>
          <w:b/>
          <w:sz w:val="24"/>
        </w:rPr>
        <w:t>necessary</w:t>
      </w:r>
      <w:r w:rsidRPr="001F1BE6">
        <w:rPr>
          <w:rFonts w:asciiTheme="minorHAnsi" w:eastAsia="Tahoma" w:hAnsiTheme="minorHAnsi"/>
          <w:b/>
          <w:sz w:val="24"/>
        </w:rPr>
        <w:t>, and</w:t>
      </w:r>
      <w:proofErr w:type="gramEnd"/>
      <w:r w:rsidRPr="001F1BE6">
        <w:rPr>
          <w:rFonts w:asciiTheme="minorHAnsi" w:eastAsia="Tahoma" w:hAnsiTheme="minorHAnsi"/>
          <w:b/>
          <w:sz w:val="24"/>
        </w:rPr>
        <w:t xml:space="preserve"> p</w:t>
      </w:r>
      <w:r>
        <w:rPr>
          <w:rFonts w:asciiTheme="minorHAnsi" w:eastAsia="Tahoma" w:hAnsiTheme="minorHAnsi"/>
          <w:b/>
          <w:sz w:val="24"/>
        </w:rPr>
        <w:t>lac</w:t>
      </w:r>
      <w:r w:rsidRPr="001F1BE6">
        <w:rPr>
          <w:rFonts w:asciiTheme="minorHAnsi" w:eastAsia="Tahoma" w:hAnsiTheme="minorHAnsi"/>
          <w:b/>
          <w:sz w:val="24"/>
        </w:rPr>
        <w:t>ing them in alternative and more suitable training environments.</w:t>
      </w:r>
      <w:r w:rsidRPr="001F1BE6">
        <w:rPr>
          <w:rFonts w:asciiTheme="minorHAnsi" w:eastAsia="Tahoma" w:hAnsiTheme="minorHAnsi"/>
          <w:sz w:val="24"/>
        </w:rPr>
        <w:t xml:space="preserve"> The LDD must let the GMC know this, along with plans for remediation and monitoring if there is an expectation that doctors in training will be sent to this LEP in future, after resolution of the concerns. The case will stay on enhanced monitoring in the meantime. The LDD must also inform the GMC if and when training is to be re-instated at a </w:t>
      </w:r>
      <w:proofErr w:type="gramStart"/>
      <w:r w:rsidRPr="001F1BE6">
        <w:rPr>
          <w:rFonts w:asciiTheme="minorHAnsi" w:eastAsia="Tahoma" w:hAnsiTheme="minorHAnsi"/>
          <w:sz w:val="24"/>
        </w:rPr>
        <w:t>LEP, and</w:t>
      </w:r>
      <w:proofErr w:type="gramEnd"/>
      <w:r w:rsidRPr="001F1BE6">
        <w:rPr>
          <w:rFonts w:asciiTheme="minorHAnsi" w:eastAsia="Tahoma" w:hAnsiTheme="minorHAnsi"/>
          <w:sz w:val="24"/>
        </w:rPr>
        <w:t xml:space="preserve"> must provide the evidence that was used to make the decision.</w:t>
      </w:r>
    </w:p>
    <w:p w:rsidR="00206CCE" w:rsidRPr="001F1BE6" w:rsidRDefault="00206CCE" w:rsidP="00206CCE">
      <w:pPr>
        <w:pStyle w:val="ListParagraph"/>
        <w:rPr>
          <w:rFonts w:asciiTheme="minorHAnsi" w:eastAsia="Tahoma" w:hAnsiTheme="minorHAnsi"/>
          <w:sz w:val="24"/>
        </w:rPr>
      </w:pPr>
    </w:p>
    <w:p w:rsidR="00206CCE" w:rsidRPr="009647FE" w:rsidRDefault="00206CCE" w:rsidP="00206CCE">
      <w:pPr>
        <w:spacing w:before="280" w:line="320" w:lineRule="exact"/>
        <w:ind w:right="72"/>
        <w:textAlignment w:val="baseline"/>
        <w:rPr>
          <w:rFonts w:asciiTheme="minorHAnsi" w:eastAsia="Tahoma" w:hAnsiTheme="minorHAnsi"/>
          <w:b/>
          <w:sz w:val="24"/>
        </w:rPr>
      </w:pPr>
      <w:r w:rsidRPr="009647FE">
        <w:rPr>
          <w:rFonts w:asciiTheme="minorHAnsi" w:eastAsia="Tahoma" w:hAnsiTheme="minorHAnsi"/>
          <w:b/>
          <w:sz w:val="24"/>
        </w:rPr>
        <w:t>Responsibility for managing enhanced monitoring cases</w:t>
      </w:r>
    </w:p>
    <w:p w:rsidR="00206CCE" w:rsidRPr="009647FE" w:rsidRDefault="00206CCE" w:rsidP="00206CCE">
      <w:pPr>
        <w:spacing w:before="280" w:line="320" w:lineRule="exact"/>
        <w:ind w:right="72"/>
        <w:textAlignment w:val="baseline"/>
        <w:rPr>
          <w:rFonts w:asciiTheme="minorHAnsi" w:eastAsia="Tahoma" w:hAnsiTheme="minorHAnsi"/>
          <w:sz w:val="24"/>
        </w:rPr>
      </w:pPr>
      <w:r w:rsidRPr="009647FE">
        <w:rPr>
          <w:rFonts w:asciiTheme="minorHAnsi" w:eastAsia="Tahoma" w:hAnsiTheme="minorHAnsi"/>
          <w:sz w:val="24"/>
        </w:rPr>
        <w:t xml:space="preserve">Issues subject to enhanced monitoring remain the responsibility of the Deanery given our responsibility for the quality management and safety of medical education and training. The Deanery will plan and manage actions to drive </w:t>
      </w:r>
      <w:proofErr w:type="gramStart"/>
      <w:r w:rsidRPr="009647FE">
        <w:rPr>
          <w:rFonts w:asciiTheme="minorHAnsi" w:eastAsia="Tahoma" w:hAnsiTheme="minorHAnsi"/>
          <w:sz w:val="24"/>
        </w:rPr>
        <w:t>improvement</w:t>
      </w:r>
      <w:proofErr w:type="gramEnd"/>
      <w:r w:rsidRPr="009647FE">
        <w:rPr>
          <w:rFonts w:asciiTheme="minorHAnsi" w:eastAsia="Tahoma" w:hAnsiTheme="minorHAnsi"/>
          <w:sz w:val="24"/>
        </w:rPr>
        <w:t xml:space="preserve"> so the GMC’s standards are met, but we do so with additional support and oversight from the GMC.</w:t>
      </w:r>
    </w:p>
    <w:p w:rsidR="00206CCE" w:rsidRPr="009647FE" w:rsidRDefault="00206CCE" w:rsidP="00206CCE">
      <w:pPr>
        <w:spacing w:before="280" w:line="320" w:lineRule="exact"/>
        <w:ind w:right="74"/>
        <w:textAlignment w:val="baseline"/>
        <w:rPr>
          <w:rFonts w:asciiTheme="minorHAnsi" w:eastAsia="Tahoma" w:hAnsiTheme="minorHAnsi"/>
          <w:b/>
          <w:sz w:val="24"/>
        </w:rPr>
      </w:pPr>
      <w:r w:rsidRPr="009647FE">
        <w:rPr>
          <w:rFonts w:asciiTheme="minorHAnsi" w:eastAsia="Tahoma" w:hAnsiTheme="minorHAnsi"/>
          <w:b/>
          <w:sz w:val="24"/>
        </w:rPr>
        <w:t>The process for managing cases that have been escalated to enhanced monitoring</w:t>
      </w:r>
    </w:p>
    <w:p w:rsidR="00206CCE" w:rsidRDefault="00206CCE" w:rsidP="00206CCE">
      <w:pPr>
        <w:pStyle w:val="ListParagraph"/>
        <w:numPr>
          <w:ilvl w:val="0"/>
          <w:numId w:val="3"/>
        </w:numPr>
        <w:spacing w:before="280" w:after="0" w:line="320" w:lineRule="exact"/>
        <w:ind w:right="74"/>
        <w:rPr>
          <w:rFonts w:asciiTheme="minorHAnsi" w:eastAsia="Tahoma" w:hAnsiTheme="minorHAnsi"/>
          <w:sz w:val="24"/>
        </w:rPr>
      </w:pPr>
      <w:r w:rsidRPr="009647FE">
        <w:rPr>
          <w:rFonts w:asciiTheme="minorHAnsi" w:eastAsia="Tahoma" w:hAnsiTheme="minorHAnsi"/>
          <w:sz w:val="24"/>
        </w:rPr>
        <w:t xml:space="preserve">The QIM/s of the sQMG responsible for managing this enhanced monitoring case will manage visits according to our visit </w:t>
      </w:r>
      <w:proofErr w:type="spellStart"/>
      <w:r w:rsidRPr="009647FE">
        <w:rPr>
          <w:rFonts w:asciiTheme="minorHAnsi" w:eastAsia="Tahoma" w:hAnsiTheme="minorHAnsi"/>
          <w:sz w:val="24"/>
        </w:rPr>
        <w:t>SoP</w:t>
      </w:r>
      <w:proofErr w:type="spellEnd"/>
      <w:r w:rsidRPr="009647FE">
        <w:rPr>
          <w:rFonts w:asciiTheme="minorHAnsi" w:eastAsia="Tahoma" w:hAnsiTheme="minorHAnsi"/>
          <w:sz w:val="24"/>
        </w:rPr>
        <w:t xml:space="preserve">. </w:t>
      </w:r>
      <w:r>
        <w:rPr>
          <w:rFonts w:asciiTheme="minorHAnsi" w:eastAsia="Tahoma" w:hAnsiTheme="minorHAnsi"/>
          <w:sz w:val="24"/>
        </w:rPr>
        <w:t xml:space="preserve">LDD of the sQMG will usually act as the visit Chair or Lead. </w:t>
      </w:r>
      <w:r w:rsidRPr="009647FE">
        <w:rPr>
          <w:rFonts w:asciiTheme="minorHAnsi" w:eastAsia="Tahoma" w:hAnsiTheme="minorHAnsi"/>
          <w:sz w:val="24"/>
        </w:rPr>
        <w:t xml:space="preserve">The GMC may provide a GMC staff member and an Enhanced Monitoring Associate to support the visits, depending on the GMC’s risk rating of the case. It is no longer a mandatory part of the process that the GMC will provide personnel to support all visits, and </w:t>
      </w:r>
      <w:r>
        <w:rPr>
          <w:rFonts w:asciiTheme="minorHAnsi" w:eastAsia="Tahoma" w:hAnsiTheme="minorHAnsi"/>
          <w:sz w:val="24"/>
        </w:rPr>
        <w:t xml:space="preserve">discussion should clarify the GMC’s and our expectations of their involvement.  When GMC personnel are involved they should be invited to take part in the PVTC as well as the visit itself and should participate as full members of the visit team. It is not essential that the GMC is represented on visits whose purpose is to confirm that a case can be closed. The conduct of visits under enhanced monitoring will conform to our usual processes including those relating to the generation and publication of the report. Final reports will be shared, as usual with panel members, but also with the GMC </w:t>
      </w:r>
      <w:proofErr w:type="gramStart"/>
      <w:r>
        <w:rPr>
          <w:rFonts w:asciiTheme="minorHAnsi" w:eastAsia="Tahoma" w:hAnsiTheme="minorHAnsi"/>
          <w:sz w:val="24"/>
        </w:rPr>
        <w:t>whether or not</w:t>
      </w:r>
      <w:proofErr w:type="gramEnd"/>
      <w:r>
        <w:rPr>
          <w:rFonts w:asciiTheme="minorHAnsi" w:eastAsia="Tahoma" w:hAnsiTheme="minorHAnsi"/>
          <w:sz w:val="24"/>
        </w:rPr>
        <w:t xml:space="preserve"> they have been represented on the visit itself.</w:t>
      </w:r>
    </w:p>
    <w:p w:rsidR="00206CCE" w:rsidRDefault="00206CCE" w:rsidP="00206CCE">
      <w:pPr>
        <w:pStyle w:val="ListParagraph"/>
        <w:numPr>
          <w:ilvl w:val="0"/>
          <w:numId w:val="3"/>
        </w:numPr>
        <w:spacing w:before="280" w:after="0" w:line="320" w:lineRule="exact"/>
        <w:ind w:right="74"/>
        <w:rPr>
          <w:rFonts w:asciiTheme="minorHAnsi" w:eastAsia="Tahoma" w:hAnsiTheme="minorHAnsi"/>
          <w:sz w:val="24"/>
        </w:rPr>
      </w:pPr>
      <w:r w:rsidRPr="00446837">
        <w:rPr>
          <w:rFonts w:asciiTheme="minorHAnsi" w:eastAsia="Tahoma" w:hAnsiTheme="minorHAnsi"/>
          <w:b/>
          <w:sz w:val="24"/>
        </w:rPr>
        <w:lastRenderedPageBreak/>
        <w:t>Updating GMC website content</w:t>
      </w:r>
      <w:r>
        <w:rPr>
          <w:rFonts w:asciiTheme="minorHAnsi" w:eastAsia="Tahoma" w:hAnsiTheme="minorHAnsi"/>
          <w:sz w:val="24"/>
        </w:rPr>
        <w:t xml:space="preserve">. Publication of cases and updates on the GMC’s website </w:t>
      </w:r>
      <w:r w:rsidRPr="004104AB">
        <w:rPr>
          <w:rFonts w:asciiTheme="minorHAnsi" w:eastAsia="Tahoma" w:hAnsiTheme="minorHAnsi"/>
          <w:sz w:val="24"/>
        </w:rPr>
        <w:t>(</w:t>
      </w:r>
      <w:hyperlink r:id="rId9" w:history="1">
        <w:r w:rsidRPr="004104AB">
          <w:rPr>
            <w:rFonts w:asciiTheme="minorHAnsi" w:eastAsia="Tahoma" w:hAnsiTheme="minorHAnsi"/>
            <w:sz w:val="24"/>
          </w:rPr>
          <w:t>https://www.gmc-uk.org/education/how-we-quality-assure/postgraduate-bodies/enhanced-monitoring</w:t>
        </w:r>
      </w:hyperlink>
      <w:r w:rsidRPr="004104AB">
        <w:rPr>
          <w:rFonts w:asciiTheme="minorHAnsi" w:eastAsia="Tahoma" w:hAnsiTheme="minorHAnsi"/>
          <w:sz w:val="24"/>
        </w:rPr>
        <w:t>).</w:t>
      </w:r>
      <w:r>
        <w:rPr>
          <w:rFonts w:asciiTheme="minorHAnsi" w:eastAsia="Tahoma" w:hAnsiTheme="minorHAnsi"/>
          <w:sz w:val="24"/>
        </w:rPr>
        <w:t xml:space="preserve"> The GMC will </w:t>
      </w:r>
      <w:r w:rsidRPr="004104AB">
        <w:rPr>
          <w:rFonts w:asciiTheme="minorHAnsi" w:eastAsia="Tahoma" w:hAnsiTheme="minorHAnsi"/>
          <w:sz w:val="24"/>
        </w:rPr>
        <w:t>publish enhanced monitoring cases</w:t>
      </w:r>
      <w:r>
        <w:rPr>
          <w:rFonts w:asciiTheme="minorHAnsi" w:eastAsia="Tahoma" w:hAnsiTheme="minorHAnsi"/>
          <w:sz w:val="24"/>
        </w:rPr>
        <w:t>, and updates on progress,</w:t>
      </w:r>
      <w:r w:rsidRPr="004104AB">
        <w:rPr>
          <w:rFonts w:asciiTheme="minorHAnsi" w:eastAsia="Tahoma" w:hAnsiTheme="minorHAnsi"/>
          <w:sz w:val="24"/>
        </w:rPr>
        <w:t xml:space="preserve"> quarterly</w:t>
      </w:r>
      <w:r>
        <w:rPr>
          <w:rFonts w:asciiTheme="minorHAnsi" w:eastAsia="Tahoma" w:hAnsiTheme="minorHAnsi"/>
          <w:sz w:val="24"/>
        </w:rPr>
        <w:t xml:space="preserve">. </w:t>
      </w:r>
      <w:r w:rsidRPr="004104AB">
        <w:rPr>
          <w:rFonts w:asciiTheme="minorHAnsi" w:eastAsia="Tahoma" w:hAnsiTheme="minorHAnsi"/>
          <w:sz w:val="24"/>
        </w:rPr>
        <w:t>All enhanced monitoring cases will be published unless there is a reason they s</w:t>
      </w:r>
      <w:r>
        <w:rPr>
          <w:rFonts w:asciiTheme="minorHAnsi" w:eastAsia="Tahoma" w:hAnsiTheme="minorHAnsi"/>
          <w:sz w:val="24"/>
        </w:rPr>
        <w:t xml:space="preserve">hould not e.g. if by publishing individuals are identified or if confidential information would be put into the public domain. Prior to publication the LDD will be contacted by the GMC to make sure </w:t>
      </w:r>
      <w:r w:rsidRPr="004104AB">
        <w:rPr>
          <w:rFonts w:asciiTheme="minorHAnsi" w:eastAsia="Tahoma" w:hAnsiTheme="minorHAnsi"/>
          <w:sz w:val="24"/>
        </w:rPr>
        <w:t>the information</w:t>
      </w:r>
      <w:r>
        <w:rPr>
          <w:rFonts w:asciiTheme="minorHAnsi" w:eastAsia="Tahoma" w:hAnsiTheme="minorHAnsi"/>
          <w:sz w:val="24"/>
        </w:rPr>
        <w:t xml:space="preserve"> for website publication</w:t>
      </w:r>
      <w:r w:rsidRPr="004104AB">
        <w:rPr>
          <w:rFonts w:asciiTheme="minorHAnsi" w:eastAsia="Tahoma" w:hAnsiTheme="minorHAnsi"/>
          <w:sz w:val="24"/>
        </w:rPr>
        <w:t xml:space="preserve"> is accurate and up to date</w:t>
      </w:r>
      <w:r>
        <w:rPr>
          <w:rFonts w:asciiTheme="minorHAnsi" w:eastAsia="Tahoma" w:hAnsiTheme="minorHAnsi"/>
          <w:sz w:val="24"/>
        </w:rPr>
        <w:t>.</w:t>
      </w:r>
    </w:p>
    <w:p w:rsidR="00206CCE" w:rsidRDefault="00206CCE" w:rsidP="00206CCE">
      <w:pPr>
        <w:pStyle w:val="ListParagraph"/>
        <w:spacing w:before="280" w:line="320" w:lineRule="exact"/>
        <w:ind w:right="74"/>
        <w:rPr>
          <w:rFonts w:asciiTheme="minorHAnsi" w:eastAsia="Tahoma" w:hAnsiTheme="minorHAnsi"/>
          <w:sz w:val="24"/>
        </w:rPr>
      </w:pPr>
    </w:p>
    <w:p w:rsidR="00206CCE" w:rsidRDefault="00206CCE" w:rsidP="00206CCE">
      <w:pPr>
        <w:pStyle w:val="ListParagraph"/>
        <w:numPr>
          <w:ilvl w:val="0"/>
          <w:numId w:val="3"/>
        </w:numPr>
        <w:spacing w:before="280" w:after="0" w:line="320" w:lineRule="exact"/>
        <w:ind w:left="0" w:right="74"/>
        <w:rPr>
          <w:rFonts w:asciiTheme="minorHAnsi" w:eastAsia="Tahoma" w:hAnsiTheme="minorHAnsi"/>
          <w:sz w:val="24"/>
        </w:rPr>
      </w:pPr>
      <w:r w:rsidRPr="008C3D70">
        <w:rPr>
          <w:rFonts w:asciiTheme="minorHAnsi" w:eastAsia="Tahoma" w:hAnsiTheme="minorHAnsi"/>
          <w:b/>
          <w:sz w:val="24"/>
        </w:rPr>
        <w:t>Monthly updates around enhanced monitoring cases to Scottish Government.</w:t>
      </w:r>
      <w:r w:rsidRPr="008C3D70">
        <w:rPr>
          <w:rFonts w:asciiTheme="minorHAnsi" w:eastAsia="Tahoma" w:hAnsiTheme="minorHAnsi"/>
          <w:sz w:val="24"/>
        </w:rPr>
        <w:t xml:space="preserve"> A Quality Workstream lead provides a monthly update (for the first Friday of every month) on the status of all Scotland’s enhanced monitoring cases. To facilitate this task each sQMG, through its QIM/s must update the log of our cases that is held on </w:t>
      </w:r>
      <w:proofErr w:type="spellStart"/>
      <w:r w:rsidRPr="008C3D70">
        <w:rPr>
          <w:rFonts w:asciiTheme="minorHAnsi" w:eastAsia="Tahoma" w:hAnsiTheme="minorHAnsi"/>
          <w:sz w:val="24"/>
        </w:rPr>
        <w:t>Sharepoint</w:t>
      </w:r>
      <w:proofErr w:type="spellEnd"/>
      <w:r w:rsidRPr="008C3D70">
        <w:rPr>
          <w:rFonts w:asciiTheme="minorHAnsi" w:eastAsia="Tahoma" w:hAnsiTheme="minorHAnsi"/>
          <w:sz w:val="24"/>
        </w:rPr>
        <w:t xml:space="preserve"> after any activity (visits, issuing of visit reports, action plans being agreed, and when the dates of fu</w:t>
      </w:r>
      <w:r>
        <w:rPr>
          <w:rFonts w:asciiTheme="minorHAnsi" w:eastAsia="Tahoma" w:hAnsiTheme="minorHAnsi"/>
          <w:sz w:val="24"/>
        </w:rPr>
        <w:t>rther visits have been agreed)</w:t>
      </w:r>
    </w:p>
    <w:p w:rsidR="00206CCE" w:rsidRPr="00DB4016" w:rsidRDefault="00206CCE" w:rsidP="00206CCE">
      <w:pPr>
        <w:pStyle w:val="ListParagraph"/>
        <w:rPr>
          <w:rFonts w:asciiTheme="minorHAnsi" w:eastAsia="Tahoma" w:hAnsiTheme="minorHAnsi"/>
          <w:sz w:val="24"/>
        </w:rPr>
      </w:pPr>
    </w:p>
    <w:p w:rsidR="00206CCE" w:rsidRDefault="00206CCE" w:rsidP="00206CCE">
      <w:pPr>
        <w:pStyle w:val="ListParagraph"/>
        <w:spacing w:before="280" w:after="0" w:line="320" w:lineRule="exact"/>
        <w:ind w:left="0" w:right="74"/>
        <w:rPr>
          <w:rFonts w:asciiTheme="minorHAnsi" w:eastAsia="Tahoma" w:hAnsiTheme="minorHAnsi"/>
          <w:sz w:val="24"/>
        </w:rPr>
      </w:pPr>
      <w:r>
        <w:rPr>
          <w:rFonts w:asciiTheme="minorHAnsi" w:eastAsia="Tahoma" w:hAnsiTheme="minorHAnsi"/>
          <w:sz w:val="24"/>
        </w:rPr>
        <w:t xml:space="preserve">QIMs should also ensure that copies of the visit report, action plan, full response report and the </w:t>
      </w:r>
      <w:proofErr w:type="spellStart"/>
      <w:r>
        <w:rPr>
          <w:rFonts w:asciiTheme="minorHAnsi" w:eastAsia="Tahoma" w:hAnsiTheme="minorHAnsi"/>
          <w:sz w:val="24"/>
        </w:rPr>
        <w:t>sQMGs</w:t>
      </w:r>
      <w:proofErr w:type="spellEnd"/>
      <w:r>
        <w:rPr>
          <w:rFonts w:asciiTheme="minorHAnsi" w:eastAsia="Tahoma" w:hAnsiTheme="minorHAnsi"/>
          <w:sz w:val="24"/>
        </w:rPr>
        <w:t xml:space="preserve"> assessment of updates are embedded in the EM log. This will ensure easy access for workstream leads in the case of any Scottish Government or media enquiries. </w:t>
      </w:r>
    </w:p>
    <w:p w:rsidR="00206CCE" w:rsidRDefault="00206CCE" w:rsidP="00206CCE">
      <w:pPr>
        <w:pStyle w:val="ListParagraph"/>
        <w:spacing w:before="280" w:after="0" w:line="320" w:lineRule="exact"/>
        <w:ind w:left="0" w:right="74"/>
        <w:rPr>
          <w:rFonts w:asciiTheme="minorHAnsi" w:eastAsia="Tahoma" w:hAnsiTheme="minorHAnsi"/>
          <w:sz w:val="24"/>
        </w:rPr>
      </w:pPr>
    </w:p>
    <w:p w:rsidR="00206CCE" w:rsidRPr="008C3D70" w:rsidRDefault="00206CCE" w:rsidP="00206CCE">
      <w:pPr>
        <w:pStyle w:val="ListParagraph"/>
        <w:spacing w:before="280" w:after="0" w:line="320" w:lineRule="exact"/>
        <w:ind w:left="0" w:right="74"/>
        <w:rPr>
          <w:rFonts w:asciiTheme="minorHAnsi" w:eastAsia="Tahoma" w:hAnsiTheme="minorHAnsi"/>
          <w:sz w:val="24"/>
        </w:rPr>
      </w:pPr>
      <w:r>
        <w:rPr>
          <w:rFonts w:asciiTheme="minorHAnsi" w:eastAsia="Tahoma" w:hAnsiTheme="minorHAnsi"/>
          <w:sz w:val="24"/>
        </w:rPr>
        <w:t>QIMs should also add a note to the second tab of the EM log to indicate cases where escalation to EM is likely. This would be where a revisit had taken place and a site/ programme were advised that escalation was being considered. These cases should then either progress onto the EM log following escalation or should include an explanation as to why escalation was not ultimately deemed necessary.</w:t>
      </w:r>
    </w:p>
    <w:p w:rsidR="00206CCE" w:rsidRDefault="00206CCE" w:rsidP="00206CCE">
      <w:pPr>
        <w:pStyle w:val="ListParagraph"/>
        <w:ind w:left="0" w:right="74"/>
        <w:rPr>
          <w:rFonts w:asciiTheme="minorHAnsi" w:eastAsia="Tahoma" w:hAnsiTheme="minorHAnsi"/>
          <w:b/>
          <w:sz w:val="24"/>
        </w:rPr>
      </w:pPr>
    </w:p>
    <w:p w:rsidR="00206CCE" w:rsidRPr="009647FE" w:rsidRDefault="00206CCE" w:rsidP="00206CCE">
      <w:pPr>
        <w:pStyle w:val="ListParagraph"/>
        <w:ind w:left="0" w:right="74"/>
        <w:rPr>
          <w:rFonts w:asciiTheme="minorHAnsi" w:eastAsia="Tahoma" w:hAnsiTheme="minorHAnsi"/>
          <w:b/>
          <w:sz w:val="24"/>
        </w:rPr>
      </w:pPr>
      <w:r w:rsidRPr="009647FE">
        <w:rPr>
          <w:rFonts w:asciiTheme="minorHAnsi" w:eastAsia="Tahoma" w:hAnsiTheme="minorHAnsi"/>
          <w:b/>
          <w:sz w:val="24"/>
        </w:rPr>
        <w:t>Enhanced monitoring – possible outcomes</w:t>
      </w:r>
    </w:p>
    <w:p w:rsidR="00206CCE" w:rsidRDefault="00206CCE" w:rsidP="00206CCE">
      <w:pPr>
        <w:pStyle w:val="ListParagraph"/>
        <w:ind w:left="0" w:right="74"/>
        <w:rPr>
          <w:rFonts w:asciiTheme="minorHAnsi" w:eastAsia="Tahoma" w:hAnsiTheme="minorHAnsi"/>
          <w:b/>
          <w:sz w:val="24"/>
        </w:rPr>
      </w:pPr>
    </w:p>
    <w:p w:rsidR="00206CCE" w:rsidRDefault="00206CCE" w:rsidP="00206CCE">
      <w:pPr>
        <w:pStyle w:val="ListParagraph"/>
        <w:ind w:left="0" w:right="74"/>
        <w:rPr>
          <w:rFonts w:asciiTheme="minorHAnsi" w:eastAsia="Tahoma" w:hAnsiTheme="minorHAnsi"/>
          <w:b/>
          <w:sz w:val="24"/>
        </w:rPr>
      </w:pPr>
      <w:bookmarkStart w:id="2" w:name="_Hlk521317799"/>
      <w:r>
        <w:rPr>
          <w:rFonts w:asciiTheme="minorHAnsi" w:eastAsia="Tahoma" w:hAnsiTheme="minorHAnsi"/>
          <w:b/>
          <w:sz w:val="24"/>
        </w:rPr>
        <w:t>A. What happens if, despite enhanced monitoring, the quality of the training environment does not improve?</w:t>
      </w:r>
    </w:p>
    <w:bookmarkEnd w:id="2"/>
    <w:p w:rsidR="00206CCE" w:rsidRPr="00545593" w:rsidRDefault="00206CCE" w:rsidP="00206CCE">
      <w:pPr>
        <w:rPr>
          <w:rFonts w:asciiTheme="minorHAnsi" w:eastAsia="Tahoma" w:hAnsiTheme="minorHAnsi"/>
          <w:sz w:val="24"/>
        </w:rPr>
      </w:pPr>
    </w:p>
    <w:p w:rsidR="00206CCE" w:rsidRDefault="00206CCE" w:rsidP="00206CCE">
      <w:pPr>
        <w:pStyle w:val="ListParagraph"/>
        <w:ind w:left="0"/>
        <w:rPr>
          <w:rFonts w:asciiTheme="minorHAnsi" w:eastAsia="Tahoma" w:hAnsiTheme="minorHAnsi"/>
          <w:b/>
          <w:sz w:val="24"/>
        </w:rPr>
      </w:pPr>
      <w:r>
        <w:rPr>
          <w:rFonts w:asciiTheme="minorHAnsi" w:eastAsia="Tahoma" w:hAnsiTheme="minorHAnsi"/>
          <w:sz w:val="24"/>
        </w:rPr>
        <w:t xml:space="preserve">1. </w:t>
      </w:r>
      <w:r w:rsidRPr="0004796C">
        <w:rPr>
          <w:rFonts w:asciiTheme="minorHAnsi" w:eastAsia="Tahoma" w:hAnsiTheme="minorHAnsi"/>
          <w:b/>
          <w:sz w:val="24"/>
        </w:rPr>
        <w:t xml:space="preserve">GMC can invoke its statutory powers by either a) setting conditions on approval </w:t>
      </w:r>
    </w:p>
    <w:p w:rsidR="00206CCE" w:rsidRDefault="00206CCE" w:rsidP="00206CCE">
      <w:pPr>
        <w:pStyle w:val="ListParagraph"/>
        <w:ind w:left="0"/>
        <w:rPr>
          <w:rFonts w:asciiTheme="minorHAnsi" w:eastAsia="Tahoma" w:hAnsiTheme="minorHAnsi"/>
          <w:b/>
          <w:sz w:val="24"/>
        </w:rPr>
      </w:pPr>
      <w:r>
        <w:rPr>
          <w:rFonts w:asciiTheme="minorHAnsi" w:eastAsia="Tahoma" w:hAnsiTheme="minorHAnsi"/>
          <w:b/>
          <w:sz w:val="24"/>
        </w:rPr>
        <w:t xml:space="preserve">    </w:t>
      </w:r>
      <w:r w:rsidRPr="0004796C">
        <w:rPr>
          <w:rFonts w:asciiTheme="minorHAnsi" w:eastAsia="Tahoma" w:hAnsiTheme="minorHAnsi"/>
          <w:b/>
          <w:sz w:val="24"/>
        </w:rPr>
        <w:t>or by b) withdrawing approval.</w:t>
      </w:r>
      <w:r>
        <w:rPr>
          <w:rFonts w:asciiTheme="minorHAnsi" w:eastAsia="Tahoma" w:hAnsiTheme="minorHAnsi"/>
          <w:b/>
          <w:sz w:val="24"/>
        </w:rPr>
        <w:t xml:space="preserve"> </w:t>
      </w:r>
    </w:p>
    <w:p w:rsidR="00206CCE" w:rsidRPr="00545593" w:rsidRDefault="00206CCE" w:rsidP="00206CCE">
      <w:pPr>
        <w:pStyle w:val="ListParagraph"/>
        <w:ind w:left="0"/>
        <w:rPr>
          <w:rFonts w:asciiTheme="minorHAnsi" w:eastAsia="Tahoma" w:hAnsiTheme="minorHAnsi"/>
          <w:b/>
          <w:sz w:val="24"/>
        </w:rPr>
      </w:pPr>
    </w:p>
    <w:p w:rsidR="00206CCE" w:rsidRDefault="00206CCE" w:rsidP="00206CCE">
      <w:pPr>
        <w:pStyle w:val="ListParagraph"/>
        <w:rPr>
          <w:rFonts w:asciiTheme="minorHAnsi" w:eastAsia="Tahoma" w:hAnsiTheme="minorHAnsi"/>
          <w:sz w:val="24"/>
        </w:rPr>
      </w:pPr>
      <w:r w:rsidRPr="00700791">
        <w:rPr>
          <w:rFonts w:asciiTheme="minorHAnsi" w:eastAsia="Tahoma" w:hAnsiTheme="minorHAnsi"/>
          <w:sz w:val="24"/>
        </w:rPr>
        <w:t xml:space="preserve">When </w:t>
      </w:r>
      <w:r>
        <w:rPr>
          <w:rFonts w:asciiTheme="minorHAnsi" w:eastAsia="Tahoma" w:hAnsiTheme="minorHAnsi"/>
          <w:sz w:val="24"/>
        </w:rPr>
        <w:t>Deanery</w:t>
      </w:r>
      <w:r w:rsidRPr="00700791">
        <w:rPr>
          <w:rFonts w:asciiTheme="minorHAnsi" w:eastAsia="Tahoma" w:hAnsiTheme="minorHAnsi"/>
          <w:sz w:val="24"/>
        </w:rPr>
        <w:t xml:space="preserve"> process</w:t>
      </w:r>
      <w:r>
        <w:rPr>
          <w:rFonts w:asciiTheme="minorHAnsi" w:eastAsia="Tahoma" w:hAnsiTheme="minorHAnsi"/>
          <w:sz w:val="24"/>
        </w:rPr>
        <w:t>es plus enhanced monitoring fail</w:t>
      </w:r>
      <w:r w:rsidRPr="00700791">
        <w:rPr>
          <w:rFonts w:asciiTheme="minorHAnsi" w:eastAsia="Tahoma" w:hAnsiTheme="minorHAnsi"/>
          <w:sz w:val="24"/>
        </w:rPr>
        <w:t xml:space="preserve"> to address serious concerns, </w:t>
      </w:r>
      <w:r>
        <w:rPr>
          <w:rFonts w:asciiTheme="minorHAnsi" w:eastAsia="Tahoma" w:hAnsiTheme="minorHAnsi"/>
          <w:sz w:val="24"/>
        </w:rPr>
        <w:t xml:space="preserve">the GMC </w:t>
      </w:r>
      <w:r w:rsidRPr="00700791">
        <w:rPr>
          <w:rFonts w:asciiTheme="minorHAnsi" w:eastAsia="Tahoma" w:hAnsiTheme="minorHAnsi"/>
          <w:sz w:val="24"/>
        </w:rPr>
        <w:t xml:space="preserve">may decide to use </w:t>
      </w:r>
      <w:r>
        <w:rPr>
          <w:rFonts w:asciiTheme="minorHAnsi" w:eastAsia="Tahoma" w:hAnsiTheme="minorHAnsi"/>
          <w:sz w:val="24"/>
        </w:rPr>
        <w:t>its</w:t>
      </w:r>
      <w:r w:rsidRPr="00700791">
        <w:rPr>
          <w:rFonts w:asciiTheme="minorHAnsi" w:eastAsia="Tahoma" w:hAnsiTheme="minorHAnsi"/>
          <w:sz w:val="24"/>
        </w:rPr>
        <w:t xml:space="preserve"> legal powers to place conditions on the approval of postgraduate training posts. </w:t>
      </w:r>
      <w:r>
        <w:rPr>
          <w:rFonts w:asciiTheme="minorHAnsi" w:eastAsia="Tahoma" w:hAnsiTheme="minorHAnsi"/>
          <w:sz w:val="24"/>
        </w:rPr>
        <w:t>The GMC</w:t>
      </w:r>
      <w:r w:rsidRPr="00700791">
        <w:rPr>
          <w:rFonts w:asciiTheme="minorHAnsi" w:eastAsia="Tahoma" w:hAnsiTheme="minorHAnsi"/>
          <w:sz w:val="24"/>
        </w:rPr>
        <w:t xml:space="preserve"> may attach</w:t>
      </w:r>
      <w:r>
        <w:rPr>
          <w:rFonts w:asciiTheme="minorHAnsi" w:eastAsia="Tahoma" w:hAnsiTheme="minorHAnsi"/>
          <w:sz w:val="24"/>
        </w:rPr>
        <w:t xml:space="preserve"> </w:t>
      </w:r>
      <w:r w:rsidRPr="00700791">
        <w:rPr>
          <w:rFonts w:asciiTheme="minorHAnsi" w:eastAsia="Tahoma" w:hAnsiTheme="minorHAnsi"/>
          <w:sz w:val="24"/>
        </w:rPr>
        <w:t xml:space="preserve">conditions to any approval that </w:t>
      </w:r>
      <w:r>
        <w:rPr>
          <w:rFonts w:asciiTheme="minorHAnsi" w:eastAsia="Tahoma" w:hAnsiTheme="minorHAnsi"/>
          <w:sz w:val="24"/>
        </w:rPr>
        <w:t>it has</w:t>
      </w:r>
      <w:r w:rsidRPr="00700791">
        <w:rPr>
          <w:rFonts w:asciiTheme="minorHAnsi" w:eastAsia="Tahoma" w:hAnsiTheme="minorHAnsi"/>
          <w:sz w:val="24"/>
        </w:rPr>
        <w:t xml:space="preserve"> already given. If it becomes clear that it is</w:t>
      </w:r>
      <w:r>
        <w:rPr>
          <w:rFonts w:asciiTheme="minorHAnsi" w:eastAsia="Tahoma" w:hAnsiTheme="minorHAnsi"/>
          <w:sz w:val="24"/>
        </w:rPr>
        <w:t xml:space="preserve"> </w:t>
      </w:r>
      <w:r w:rsidRPr="00700791">
        <w:rPr>
          <w:rFonts w:asciiTheme="minorHAnsi" w:eastAsia="Tahoma" w:hAnsiTheme="minorHAnsi"/>
          <w:sz w:val="24"/>
        </w:rPr>
        <w:t xml:space="preserve">unlikely the conditions will be met, </w:t>
      </w:r>
      <w:r>
        <w:rPr>
          <w:rFonts w:asciiTheme="minorHAnsi" w:eastAsia="Tahoma" w:hAnsiTheme="minorHAnsi"/>
          <w:sz w:val="24"/>
        </w:rPr>
        <w:t>the GMC</w:t>
      </w:r>
      <w:r w:rsidRPr="00700791">
        <w:rPr>
          <w:rFonts w:asciiTheme="minorHAnsi" w:eastAsia="Tahoma" w:hAnsiTheme="minorHAnsi"/>
          <w:sz w:val="24"/>
        </w:rPr>
        <w:t xml:space="preserve"> may decide to withdraw </w:t>
      </w:r>
      <w:r>
        <w:rPr>
          <w:rFonts w:asciiTheme="minorHAnsi" w:eastAsia="Tahoma" w:hAnsiTheme="minorHAnsi"/>
          <w:sz w:val="24"/>
        </w:rPr>
        <w:t>its</w:t>
      </w:r>
      <w:r w:rsidRPr="00700791">
        <w:rPr>
          <w:rFonts w:asciiTheme="minorHAnsi" w:eastAsia="Tahoma" w:hAnsiTheme="minorHAnsi"/>
          <w:sz w:val="24"/>
        </w:rPr>
        <w:t xml:space="preserve"> approval. </w:t>
      </w:r>
    </w:p>
    <w:p w:rsidR="00206CCE" w:rsidRDefault="00206CCE" w:rsidP="00206CCE">
      <w:pPr>
        <w:pStyle w:val="ListParagraph"/>
        <w:rPr>
          <w:rFonts w:asciiTheme="minorHAnsi" w:eastAsia="Tahoma" w:hAnsiTheme="minorHAnsi"/>
          <w:sz w:val="24"/>
        </w:rPr>
      </w:pPr>
    </w:p>
    <w:p w:rsidR="00206CCE" w:rsidRPr="0014117F" w:rsidRDefault="00206CCE" w:rsidP="00206CCE">
      <w:pPr>
        <w:pStyle w:val="ListParagraph"/>
        <w:rPr>
          <w:rFonts w:asciiTheme="minorHAnsi" w:eastAsia="Tahoma" w:hAnsiTheme="minorHAnsi"/>
          <w:sz w:val="24"/>
        </w:rPr>
      </w:pPr>
      <w:r>
        <w:rPr>
          <w:rFonts w:asciiTheme="minorHAnsi" w:eastAsia="Tahoma" w:hAnsiTheme="minorHAnsi"/>
          <w:sz w:val="24"/>
        </w:rPr>
        <w:t xml:space="preserve">The GMC’s conditions fall into 2 categories: </w:t>
      </w:r>
      <w:r w:rsidRPr="0014117F">
        <w:rPr>
          <w:rFonts w:asciiTheme="minorHAnsi" w:eastAsia="Tahoma" w:hAnsiTheme="minorHAnsi"/>
          <w:b/>
          <w:sz w:val="24"/>
        </w:rPr>
        <w:t>supportive conditions and prescriptive conditions. Supportive conditions</w:t>
      </w:r>
      <w:r w:rsidRPr="0014117F">
        <w:rPr>
          <w:rFonts w:asciiTheme="minorHAnsi" w:eastAsia="Tahoma" w:hAnsiTheme="minorHAnsi"/>
          <w:sz w:val="24"/>
        </w:rPr>
        <w:t xml:space="preserve"> reinforce the GMC’s standards, without changing how a programme is delivered. </w:t>
      </w:r>
      <w:r w:rsidRPr="0014117F">
        <w:rPr>
          <w:rFonts w:asciiTheme="minorHAnsi" w:eastAsia="Tahoma" w:hAnsiTheme="minorHAnsi"/>
          <w:b/>
          <w:sz w:val="24"/>
        </w:rPr>
        <w:t>Prescriptive conditions</w:t>
      </w:r>
      <w:r w:rsidRPr="0014117F">
        <w:rPr>
          <w:rFonts w:asciiTheme="minorHAnsi" w:eastAsia="Tahoma" w:hAnsiTheme="minorHAnsi"/>
          <w:sz w:val="24"/>
        </w:rPr>
        <w:t xml:space="preserve"> outline more specifically what must be put in place to ensure our standards are met. These conditions usually require change/action </w:t>
      </w:r>
      <w:proofErr w:type="gramStart"/>
      <w:r w:rsidRPr="0014117F">
        <w:rPr>
          <w:rFonts w:asciiTheme="minorHAnsi" w:eastAsia="Tahoma" w:hAnsiTheme="minorHAnsi"/>
          <w:sz w:val="24"/>
        </w:rPr>
        <w:t>in order to</w:t>
      </w:r>
      <w:proofErr w:type="gramEnd"/>
      <w:r w:rsidRPr="0014117F">
        <w:rPr>
          <w:rFonts w:asciiTheme="minorHAnsi" w:eastAsia="Tahoma" w:hAnsiTheme="minorHAnsi"/>
          <w:sz w:val="24"/>
        </w:rPr>
        <w:t xml:space="preserve"> be met. The GMC’s QA programme manager for Scotland will liaise with the LDD for the sQMG that is managing the enhanced monitoring case to agree the wording of any conditions that are set. The wording will a) reflect the current understanding of what issues still require to be resolved and b) will be consistent with the wording of the requirements used within the GMCs’ standards document.  </w:t>
      </w:r>
    </w:p>
    <w:p w:rsidR="00206CCE" w:rsidRDefault="00206CCE" w:rsidP="00206CCE">
      <w:pPr>
        <w:pStyle w:val="ListParagraph"/>
        <w:rPr>
          <w:rFonts w:asciiTheme="minorHAnsi" w:eastAsia="Tahoma" w:hAnsiTheme="minorHAnsi"/>
          <w:sz w:val="24"/>
        </w:rPr>
      </w:pPr>
    </w:p>
    <w:p w:rsidR="00206CCE" w:rsidRPr="001F1BE6" w:rsidRDefault="00206CCE" w:rsidP="00206CCE">
      <w:pPr>
        <w:pStyle w:val="ListParagraph"/>
        <w:ind w:right="74"/>
        <w:rPr>
          <w:rFonts w:asciiTheme="minorHAnsi" w:eastAsia="Tahoma" w:hAnsiTheme="minorHAnsi"/>
          <w:sz w:val="24"/>
        </w:rPr>
      </w:pPr>
      <w:r w:rsidRPr="001F1BE6">
        <w:rPr>
          <w:rFonts w:asciiTheme="minorHAnsi" w:eastAsia="Tahoma" w:hAnsiTheme="minorHAnsi"/>
          <w:sz w:val="24"/>
        </w:rPr>
        <w:lastRenderedPageBreak/>
        <w:t>If the GMC pursues setting conditions, a consultation will occur with all interested parties before a decision is made and any further action is taken. Such parties could include the LEP, NES / Deanery, other healthcare regulators, doctors in training, and potentially patients and the public. The consultation period may be adjusted depending on the urgency with which the issues need to be addressed</w:t>
      </w:r>
    </w:p>
    <w:p w:rsidR="00206CCE" w:rsidRDefault="00206CCE" w:rsidP="00206CCE">
      <w:pPr>
        <w:pStyle w:val="ListParagraph"/>
        <w:rPr>
          <w:rFonts w:asciiTheme="minorHAnsi" w:eastAsia="Tahoma" w:hAnsiTheme="minorHAnsi"/>
          <w:b/>
          <w:sz w:val="24"/>
        </w:rPr>
      </w:pPr>
    </w:p>
    <w:p w:rsidR="00206CCE" w:rsidRDefault="00206CCE" w:rsidP="00206CCE">
      <w:pPr>
        <w:pStyle w:val="ListParagraph"/>
        <w:ind w:left="0"/>
        <w:rPr>
          <w:rFonts w:asciiTheme="minorHAnsi" w:eastAsia="Tahoma" w:hAnsiTheme="minorHAnsi"/>
          <w:sz w:val="24"/>
        </w:rPr>
      </w:pPr>
      <w:r w:rsidRPr="00A8357C">
        <w:rPr>
          <w:rFonts w:asciiTheme="minorHAnsi" w:eastAsia="Tahoma" w:hAnsiTheme="minorHAnsi"/>
          <w:b/>
          <w:sz w:val="24"/>
        </w:rPr>
        <w:t>2. Removal of trainees</w:t>
      </w:r>
      <w:r>
        <w:rPr>
          <w:rFonts w:asciiTheme="minorHAnsi" w:eastAsia="Tahoma" w:hAnsiTheme="minorHAnsi"/>
          <w:sz w:val="24"/>
        </w:rPr>
        <w:t xml:space="preserve">. </w:t>
      </w:r>
    </w:p>
    <w:p w:rsidR="00206CCE" w:rsidRDefault="00206CCE" w:rsidP="00206CCE">
      <w:pPr>
        <w:pStyle w:val="ListParagraph"/>
        <w:rPr>
          <w:rFonts w:asciiTheme="minorHAnsi" w:eastAsia="Tahoma" w:hAnsiTheme="minorHAnsi"/>
          <w:sz w:val="24"/>
        </w:rPr>
      </w:pPr>
    </w:p>
    <w:p w:rsidR="00206CCE" w:rsidRPr="00B7670D" w:rsidRDefault="00206CCE" w:rsidP="00206CCE">
      <w:pPr>
        <w:pStyle w:val="ListParagraph"/>
        <w:rPr>
          <w:rFonts w:asciiTheme="minorHAnsi" w:eastAsia="Tahoma" w:hAnsiTheme="minorHAnsi"/>
          <w:sz w:val="24"/>
        </w:rPr>
      </w:pPr>
      <w:r w:rsidRPr="00B7670D">
        <w:rPr>
          <w:rFonts w:asciiTheme="minorHAnsi" w:eastAsia="Tahoma" w:hAnsiTheme="minorHAnsi"/>
          <w:sz w:val="24"/>
        </w:rPr>
        <w:t xml:space="preserve">Where conditions fail to address the serious </w:t>
      </w:r>
      <w:proofErr w:type="gramStart"/>
      <w:r w:rsidRPr="00B7670D">
        <w:rPr>
          <w:rFonts w:asciiTheme="minorHAnsi" w:eastAsia="Tahoma" w:hAnsiTheme="minorHAnsi"/>
          <w:sz w:val="24"/>
        </w:rPr>
        <w:t>concerns</w:t>
      </w:r>
      <w:proofErr w:type="gramEnd"/>
      <w:r w:rsidRPr="00B7670D">
        <w:rPr>
          <w:rFonts w:asciiTheme="minorHAnsi" w:eastAsia="Tahoma" w:hAnsiTheme="minorHAnsi"/>
          <w:sz w:val="24"/>
        </w:rPr>
        <w:t xml:space="preserve"> the GMC may consider that removal of trainees is necessary to ensure patient safety. Where the GMC considers this may be appropriate they would discuss this with the LDD and plan an approach to remove approval safely.</w:t>
      </w:r>
    </w:p>
    <w:p w:rsidR="00206CCE" w:rsidRPr="00A8357C" w:rsidRDefault="00206CCE" w:rsidP="00206CCE">
      <w:pPr>
        <w:pStyle w:val="ListParagraph"/>
        <w:rPr>
          <w:rFonts w:asciiTheme="minorHAnsi" w:eastAsia="Tahoma" w:hAnsiTheme="minorHAnsi"/>
          <w:color w:val="F79646" w:themeColor="accent6"/>
          <w:sz w:val="24"/>
        </w:rPr>
      </w:pPr>
    </w:p>
    <w:p w:rsidR="00206CCE" w:rsidRPr="00B7670D" w:rsidRDefault="00206CCE" w:rsidP="00206CCE">
      <w:pPr>
        <w:pStyle w:val="ListParagraph"/>
        <w:rPr>
          <w:rFonts w:asciiTheme="minorHAnsi" w:eastAsia="Tahoma" w:hAnsiTheme="minorHAnsi"/>
          <w:sz w:val="24"/>
        </w:rPr>
      </w:pPr>
      <w:r w:rsidRPr="00B7670D">
        <w:rPr>
          <w:rFonts w:asciiTheme="minorHAnsi" w:eastAsia="Tahoma" w:hAnsiTheme="minorHAnsi"/>
          <w:sz w:val="24"/>
        </w:rPr>
        <w:t>The GMC can withdraw GMC approval solely at the level at which they approve- which is at</w:t>
      </w:r>
    </w:p>
    <w:p w:rsidR="00206CCE" w:rsidRPr="00B7670D" w:rsidRDefault="00206CCE" w:rsidP="00206CCE">
      <w:pPr>
        <w:pStyle w:val="ListParagraph"/>
        <w:rPr>
          <w:rFonts w:asciiTheme="minorHAnsi" w:eastAsia="Tahoma" w:hAnsiTheme="minorHAnsi"/>
          <w:sz w:val="24"/>
        </w:rPr>
      </w:pPr>
      <w:r w:rsidRPr="00B7670D">
        <w:rPr>
          <w:rFonts w:asciiTheme="minorHAnsi" w:eastAsia="Tahoma" w:hAnsiTheme="minorHAnsi"/>
          <w:sz w:val="24"/>
        </w:rPr>
        <w:t>programme level. This means that they must withdraw approval from an entire programme at an organisation rather than a specific cohort of trainees from a department or a training site.</w:t>
      </w:r>
    </w:p>
    <w:p w:rsidR="00206CCE" w:rsidRDefault="00206CCE" w:rsidP="00206CCE">
      <w:pPr>
        <w:pStyle w:val="ListParagraph"/>
        <w:rPr>
          <w:rFonts w:asciiTheme="minorHAnsi" w:eastAsia="Tahoma" w:hAnsiTheme="minorHAnsi"/>
          <w:color w:val="F79646" w:themeColor="accent6"/>
          <w:sz w:val="24"/>
        </w:rPr>
      </w:pPr>
    </w:p>
    <w:p w:rsidR="00206CCE" w:rsidRPr="001F1BE6" w:rsidRDefault="00206CCE" w:rsidP="00206CCE">
      <w:pPr>
        <w:pStyle w:val="ListParagraph"/>
        <w:ind w:right="74"/>
        <w:rPr>
          <w:rFonts w:asciiTheme="minorHAnsi" w:eastAsia="Tahoma" w:hAnsiTheme="minorHAnsi"/>
          <w:sz w:val="24"/>
        </w:rPr>
      </w:pPr>
      <w:r w:rsidRPr="001F1BE6">
        <w:rPr>
          <w:rFonts w:asciiTheme="minorHAnsi" w:eastAsia="Tahoma" w:hAnsiTheme="minorHAnsi"/>
          <w:sz w:val="24"/>
        </w:rPr>
        <w:t>If the GMC pursues withdrawal of approval, a consultation will occur with all interested parties before a decision is made and any further action is taken. Such parties could include the LEP, NES / D</w:t>
      </w:r>
      <w:r>
        <w:rPr>
          <w:rFonts w:asciiTheme="minorHAnsi" w:eastAsia="Tahoma" w:hAnsiTheme="minorHAnsi"/>
          <w:sz w:val="24"/>
        </w:rPr>
        <w:t>eanery</w:t>
      </w:r>
      <w:r w:rsidRPr="001F1BE6">
        <w:rPr>
          <w:rFonts w:asciiTheme="minorHAnsi" w:eastAsia="Tahoma" w:hAnsiTheme="minorHAnsi"/>
          <w:sz w:val="24"/>
        </w:rPr>
        <w:t>, other healthcare regulators, doctors in training, and potentially patients and the public. The consultation period may be adjusted depending on the urgency with which the issues need to be addressed.</w:t>
      </w:r>
    </w:p>
    <w:p w:rsidR="00206CCE" w:rsidRDefault="00206CCE" w:rsidP="00206CCE">
      <w:pPr>
        <w:spacing w:before="280" w:line="320" w:lineRule="exact"/>
        <w:ind w:right="74"/>
        <w:textAlignment w:val="baseline"/>
        <w:rPr>
          <w:rFonts w:asciiTheme="minorHAnsi" w:eastAsia="Tahoma" w:hAnsiTheme="minorHAnsi"/>
          <w:b/>
          <w:sz w:val="24"/>
        </w:rPr>
      </w:pPr>
      <w:r>
        <w:rPr>
          <w:rFonts w:asciiTheme="minorHAnsi" w:eastAsia="Tahoma" w:hAnsiTheme="minorHAnsi"/>
          <w:b/>
          <w:sz w:val="24"/>
        </w:rPr>
        <w:br/>
        <w:t xml:space="preserve">3. The GMC may trigger its own visit. </w:t>
      </w:r>
    </w:p>
    <w:p w:rsidR="00206CCE" w:rsidRPr="00EA2E76" w:rsidRDefault="00206CCE" w:rsidP="00206CCE">
      <w:pPr>
        <w:spacing w:before="280" w:line="320" w:lineRule="exact"/>
        <w:ind w:left="720" w:right="74"/>
        <w:textAlignment w:val="baseline"/>
        <w:rPr>
          <w:rFonts w:asciiTheme="minorHAnsi" w:eastAsia="Tahoma" w:hAnsiTheme="minorHAnsi"/>
          <w:b/>
          <w:sz w:val="24"/>
        </w:rPr>
      </w:pPr>
      <w:r w:rsidRPr="00700791">
        <w:rPr>
          <w:rFonts w:asciiTheme="minorHAnsi" w:eastAsia="Tahoma" w:hAnsiTheme="minorHAnsi"/>
          <w:sz w:val="24"/>
        </w:rPr>
        <w:t xml:space="preserve">Where serious concerns </w:t>
      </w:r>
      <w:r>
        <w:rPr>
          <w:rFonts w:asciiTheme="minorHAnsi" w:eastAsia="Tahoma" w:hAnsiTheme="minorHAnsi"/>
          <w:sz w:val="24"/>
        </w:rPr>
        <w:t xml:space="preserve">persist </w:t>
      </w:r>
      <w:r w:rsidRPr="00700791">
        <w:rPr>
          <w:rFonts w:asciiTheme="minorHAnsi" w:eastAsia="Tahoma" w:hAnsiTheme="minorHAnsi"/>
          <w:sz w:val="24"/>
        </w:rPr>
        <w:t xml:space="preserve">despite </w:t>
      </w:r>
      <w:r>
        <w:rPr>
          <w:rFonts w:asciiTheme="minorHAnsi" w:eastAsia="Tahoma" w:hAnsiTheme="minorHAnsi"/>
          <w:sz w:val="24"/>
        </w:rPr>
        <w:t>the Deanery’s efforts to improve the quality of training or of the training environment through</w:t>
      </w:r>
      <w:r w:rsidRPr="00700791">
        <w:rPr>
          <w:rFonts w:asciiTheme="minorHAnsi" w:eastAsia="Tahoma" w:hAnsiTheme="minorHAnsi"/>
          <w:sz w:val="24"/>
        </w:rPr>
        <w:t xml:space="preserve"> enhanced monitoring</w:t>
      </w:r>
      <w:r>
        <w:rPr>
          <w:rFonts w:asciiTheme="minorHAnsi" w:eastAsia="Tahoma" w:hAnsiTheme="minorHAnsi"/>
          <w:sz w:val="24"/>
        </w:rPr>
        <w:t xml:space="preserve">, the GMC can instigate </w:t>
      </w:r>
      <w:r w:rsidRPr="00700791">
        <w:rPr>
          <w:rFonts w:asciiTheme="minorHAnsi" w:eastAsia="Tahoma" w:hAnsiTheme="minorHAnsi"/>
          <w:sz w:val="24"/>
        </w:rPr>
        <w:t xml:space="preserve">a </w:t>
      </w:r>
      <w:r w:rsidRPr="00700791">
        <w:rPr>
          <w:rFonts w:asciiTheme="minorHAnsi" w:eastAsia="Tahoma" w:hAnsiTheme="minorHAnsi"/>
          <w:b/>
          <w:sz w:val="24"/>
        </w:rPr>
        <w:t>GMC triggered visit</w:t>
      </w:r>
      <w:r w:rsidRPr="00700791">
        <w:rPr>
          <w:rFonts w:asciiTheme="minorHAnsi" w:eastAsia="Tahoma" w:hAnsiTheme="minorHAnsi"/>
          <w:sz w:val="24"/>
        </w:rPr>
        <w:t xml:space="preserve">. A GMC triggered visit is </w:t>
      </w:r>
      <w:r>
        <w:rPr>
          <w:rFonts w:asciiTheme="minorHAnsi" w:eastAsia="Tahoma" w:hAnsiTheme="minorHAnsi"/>
          <w:sz w:val="24"/>
        </w:rPr>
        <w:t xml:space="preserve">planned, </w:t>
      </w:r>
      <w:r>
        <w:rPr>
          <w:rFonts w:asciiTheme="minorHAnsi" w:eastAsia="Tahoma" w:hAnsiTheme="minorHAnsi"/>
          <w:sz w:val="24"/>
        </w:rPr>
        <w:t xml:space="preserve">organised, </w:t>
      </w:r>
      <w:r w:rsidRPr="00700791">
        <w:rPr>
          <w:rFonts w:asciiTheme="minorHAnsi" w:eastAsia="Tahoma" w:hAnsiTheme="minorHAnsi"/>
          <w:sz w:val="24"/>
        </w:rPr>
        <w:t>managed</w:t>
      </w:r>
      <w:r>
        <w:rPr>
          <w:rFonts w:asciiTheme="minorHAnsi" w:eastAsia="Tahoma" w:hAnsiTheme="minorHAnsi"/>
          <w:sz w:val="24"/>
        </w:rPr>
        <w:t xml:space="preserve"> and led</w:t>
      </w:r>
      <w:r w:rsidRPr="00700791">
        <w:rPr>
          <w:rFonts w:asciiTheme="minorHAnsi" w:eastAsia="Tahoma" w:hAnsiTheme="minorHAnsi"/>
          <w:sz w:val="24"/>
        </w:rPr>
        <w:t xml:space="preserve"> by the GMC. The format of a GMC triggered visit will vary according to the nature of the concern. Following the visit, </w:t>
      </w:r>
      <w:r>
        <w:rPr>
          <w:rFonts w:asciiTheme="minorHAnsi" w:eastAsia="Tahoma" w:hAnsiTheme="minorHAnsi"/>
          <w:sz w:val="24"/>
        </w:rPr>
        <w:t xml:space="preserve">the GMC </w:t>
      </w:r>
      <w:r w:rsidRPr="00700791">
        <w:rPr>
          <w:rFonts w:asciiTheme="minorHAnsi" w:eastAsia="Tahoma" w:hAnsiTheme="minorHAnsi"/>
          <w:sz w:val="24"/>
        </w:rPr>
        <w:t xml:space="preserve">will provide </w:t>
      </w:r>
      <w:r>
        <w:rPr>
          <w:rFonts w:asciiTheme="minorHAnsi" w:eastAsia="Tahoma" w:hAnsiTheme="minorHAnsi"/>
          <w:sz w:val="24"/>
        </w:rPr>
        <w:t>the Deanery</w:t>
      </w:r>
      <w:r w:rsidRPr="00700791">
        <w:rPr>
          <w:rFonts w:asciiTheme="minorHAnsi" w:eastAsia="Tahoma" w:hAnsiTheme="minorHAnsi"/>
          <w:sz w:val="24"/>
        </w:rPr>
        <w:t xml:space="preserve"> with details of further actions and monitoring requirements.</w:t>
      </w:r>
    </w:p>
    <w:p w:rsidR="00206CCE" w:rsidRDefault="00206CCE" w:rsidP="00206CCE">
      <w:pPr>
        <w:spacing w:before="280" w:line="320" w:lineRule="exact"/>
        <w:ind w:right="74"/>
        <w:textAlignment w:val="baseline"/>
        <w:rPr>
          <w:rFonts w:asciiTheme="minorHAnsi" w:eastAsia="Tahoma" w:hAnsiTheme="minorHAnsi"/>
          <w:sz w:val="24"/>
        </w:rPr>
      </w:pPr>
    </w:p>
    <w:p w:rsidR="00206CCE" w:rsidRDefault="00206CCE" w:rsidP="00206CCE">
      <w:pPr>
        <w:pStyle w:val="ListParagraph"/>
        <w:ind w:left="0" w:right="74"/>
        <w:rPr>
          <w:rFonts w:asciiTheme="minorHAnsi" w:eastAsia="Tahoma" w:hAnsiTheme="minorHAnsi"/>
          <w:b/>
          <w:sz w:val="24"/>
        </w:rPr>
      </w:pPr>
      <w:r>
        <w:rPr>
          <w:rFonts w:asciiTheme="minorHAnsi" w:eastAsia="Tahoma" w:hAnsiTheme="minorHAnsi"/>
          <w:b/>
          <w:sz w:val="24"/>
        </w:rPr>
        <w:t>B. What happens when the quality of the training environment has improved and the concerns necessitating enhanced monitoring have been addressed?</w:t>
      </w:r>
    </w:p>
    <w:p w:rsidR="00206CCE" w:rsidRPr="009647FE" w:rsidRDefault="00206CCE" w:rsidP="00206CCE">
      <w:pPr>
        <w:pStyle w:val="ListParagraph"/>
        <w:ind w:left="0" w:right="74"/>
        <w:rPr>
          <w:rFonts w:asciiTheme="minorHAnsi" w:eastAsia="Tahoma" w:hAnsiTheme="minorHAnsi"/>
          <w:b/>
          <w:sz w:val="24"/>
        </w:rPr>
      </w:pPr>
    </w:p>
    <w:p w:rsidR="00206CCE" w:rsidRDefault="00206CCE" w:rsidP="00206CCE">
      <w:pPr>
        <w:pStyle w:val="ListParagraph"/>
        <w:ind w:left="0"/>
        <w:rPr>
          <w:rFonts w:asciiTheme="minorHAnsi" w:eastAsia="Tahoma" w:hAnsiTheme="minorHAnsi"/>
          <w:sz w:val="24"/>
        </w:rPr>
      </w:pPr>
      <w:r w:rsidRPr="008C49BF">
        <w:rPr>
          <w:rFonts w:asciiTheme="minorHAnsi" w:eastAsia="Tahoma" w:hAnsiTheme="minorHAnsi"/>
          <w:sz w:val="24"/>
        </w:rPr>
        <w:t>There are two exit routes f</w:t>
      </w:r>
      <w:r>
        <w:rPr>
          <w:rFonts w:asciiTheme="minorHAnsi" w:eastAsia="Tahoma" w:hAnsiTheme="minorHAnsi"/>
          <w:sz w:val="24"/>
        </w:rPr>
        <w:t>rom</w:t>
      </w:r>
      <w:r w:rsidRPr="008C49BF">
        <w:rPr>
          <w:rFonts w:asciiTheme="minorHAnsi" w:eastAsia="Tahoma" w:hAnsiTheme="minorHAnsi"/>
          <w:sz w:val="24"/>
        </w:rPr>
        <w:t xml:space="preserve"> enhanced monitoring:</w:t>
      </w:r>
    </w:p>
    <w:p w:rsidR="00206CCE" w:rsidRPr="008C49BF" w:rsidRDefault="00206CCE" w:rsidP="00206CCE">
      <w:pPr>
        <w:pStyle w:val="ListParagraph"/>
        <w:numPr>
          <w:ilvl w:val="0"/>
          <w:numId w:val="3"/>
        </w:numPr>
        <w:spacing w:after="0" w:line="240" w:lineRule="auto"/>
        <w:rPr>
          <w:rFonts w:asciiTheme="minorHAnsi" w:eastAsia="Tahoma" w:hAnsiTheme="minorHAnsi"/>
          <w:b/>
          <w:sz w:val="24"/>
        </w:rPr>
      </w:pPr>
      <w:r w:rsidRPr="008C49BF">
        <w:rPr>
          <w:rFonts w:asciiTheme="minorHAnsi" w:eastAsia="Tahoma" w:hAnsiTheme="minorHAnsi"/>
          <w:b/>
          <w:sz w:val="24"/>
        </w:rPr>
        <w:t>De-escalation to routine monitoring by the Deanery, and</w:t>
      </w:r>
    </w:p>
    <w:p w:rsidR="00206CCE" w:rsidRPr="008C49BF" w:rsidRDefault="00206CCE" w:rsidP="00206CCE">
      <w:pPr>
        <w:pStyle w:val="ListParagraph"/>
        <w:numPr>
          <w:ilvl w:val="0"/>
          <w:numId w:val="3"/>
        </w:numPr>
        <w:spacing w:after="0" w:line="240" w:lineRule="auto"/>
        <w:rPr>
          <w:rFonts w:asciiTheme="minorHAnsi" w:eastAsia="Tahoma" w:hAnsiTheme="minorHAnsi"/>
          <w:b/>
          <w:sz w:val="24"/>
        </w:rPr>
      </w:pPr>
      <w:r w:rsidRPr="008C49BF">
        <w:rPr>
          <w:rFonts w:asciiTheme="minorHAnsi" w:eastAsia="Tahoma" w:hAnsiTheme="minorHAnsi"/>
          <w:b/>
          <w:sz w:val="24"/>
        </w:rPr>
        <w:t>Resolution of the concern</w:t>
      </w:r>
    </w:p>
    <w:p w:rsidR="00206CCE" w:rsidRDefault="00206CCE" w:rsidP="00206CCE">
      <w:pPr>
        <w:rPr>
          <w:rFonts w:asciiTheme="minorHAnsi" w:eastAsia="Tahoma" w:hAnsiTheme="minorHAnsi"/>
          <w:sz w:val="24"/>
        </w:rPr>
      </w:pPr>
    </w:p>
    <w:p w:rsidR="00206CCE" w:rsidRDefault="00206CCE" w:rsidP="00206CCE">
      <w:pPr>
        <w:rPr>
          <w:rFonts w:asciiTheme="minorHAnsi" w:eastAsia="Tahoma" w:hAnsiTheme="minorHAnsi"/>
          <w:b/>
          <w:sz w:val="24"/>
        </w:rPr>
      </w:pPr>
      <w:r>
        <w:rPr>
          <w:rFonts w:asciiTheme="minorHAnsi" w:eastAsia="Tahoma" w:hAnsiTheme="minorHAnsi"/>
          <w:b/>
          <w:sz w:val="24"/>
        </w:rPr>
        <w:t xml:space="preserve">1. </w:t>
      </w:r>
      <w:r w:rsidRPr="008C49BF">
        <w:rPr>
          <w:rFonts w:asciiTheme="minorHAnsi" w:eastAsia="Tahoma" w:hAnsiTheme="minorHAnsi"/>
          <w:b/>
          <w:sz w:val="24"/>
        </w:rPr>
        <w:t>De-escalation to routine monitoring by the Deanery</w:t>
      </w:r>
    </w:p>
    <w:p w:rsidR="00206CCE" w:rsidRDefault="00206CCE" w:rsidP="00206CCE">
      <w:pPr>
        <w:pStyle w:val="ListParagraph"/>
        <w:numPr>
          <w:ilvl w:val="1"/>
          <w:numId w:val="6"/>
        </w:numPr>
        <w:spacing w:after="0" w:line="240" w:lineRule="auto"/>
        <w:rPr>
          <w:rFonts w:asciiTheme="minorHAnsi" w:eastAsia="Tahoma" w:hAnsiTheme="minorHAnsi"/>
          <w:sz w:val="24"/>
        </w:rPr>
      </w:pPr>
      <w:r>
        <w:rPr>
          <w:rFonts w:asciiTheme="minorHAnsi" w:eastAsia="Tahoma" w:hAnsiTheme="minorHAnsi"/>
          <w:sz w:val="24"/>
        </w:rPr>
        <w:t>Applies</w:t>
      </w:r>
      <w:r w:rsidRPr="008C49BF">
        <w:rPr>
          <w:rFonts w:asciiTheme="minorHAnsi" w:eastAsia="Tahoma" w:hAnsiTheme="minorHAnsi"/>
          <w:sz w:val="24"/>
        </w:rPr>
        <w:t xml:space="preserve"> when a case </w:t>
      </w:r>
      <w:r>
        <w:rPr>
          <w:rFonts w:asciiTheme="minorHAnsi" w:eastAsia="Tahoma" w:hAnsiTheme="minorHAnsi"/>
          <w:sz w:val="24"/>
        </w:rPr>
        <w:t xml:space="preserve">on enhanced monitoring </w:t>
      </w:r>
      <w:r w:rsidRPr="008C49BF">
        <w:rPr>
          <w:rFonts w:asciiTheme="minorHAnsi" w:eastAsia="Tahoma" w:hAnsiTheme="minorHAnsi"/>
          <w:sz w:val="24"/>
        </w:rPr>
        <w:t xml:space="preserve">no longer meets the thresholds for enhanced monitoring, but the concern is still not fully resolved and </w:t>
      </w:r>
      <w:r>
        <w:rPr>
          <w:rFonts w:asciiTheme="minorHAnsi" w:eastAsia="Tahoma" w:hAnsiTheme="minorHAnsi"/>
          <w:sz w:val="24"/>
        </w:rPr>
        <w:t>requires</w:t>
      </w:r>
      <w:r w:rsidRPr="008C49BF">
        <w:rPr>
          <w:rFonts w:asciiTheme="minorHAnsi" w:eastAsia="Tahoma" w:hAnsiTheme="minorHAnsi"/>
          <w:sz w:val="24"/>
        </w:rPr>
        <w:t xml:space="preserve"> </w:t>
      </w:r>
      <w:r>
        <w:rPr>
          <w:rFonts w:asciiTheme="minorHAnsi" w:eastAsia="Tahoma" w:hAnsiTheme="minorHAnsi"/>
          <w:sz w:val="24"/>
        </w:rPr>
        <w:t xml:space="preserve">ongoing routine Deanery quality management and improvement processes. </w:t>
      </w:r>
    </w:p>
    <w:p w:rsidR="00206CCE" w:rsidRDefault="00206CCE" w:rsidP="00206CCE">
      <w:pPr>
        <w:pStyle w:val="ListParagraph"/>
        <w:numPr>
          <w:ilvl w:val="1"/>
          <w:numId w:val="6"/>
        </w:numPr>
        <w:spacing w:after="0" w:line="240" w:lineRule="auto"/>
        <w:rPr>
          <w:rFonts w:asciiTheme="minorHAnsi" w:eastAsia="Tahoma" w:hAnsiTheme="minorHAnsi"/>
          <w:sz w:val="24"/>
        </w:rPr>
      </w:pPr>
      <w:r>
        <w:rPr>
          <w:rFonts w:asciiTheme="minorHAnsi" w:eastAsia="Tahoma" w:hAnsiTheme="minorHAnsi"/>
          <w:sz w:val="24"/>
        </w:rPr>
        <w:t>The issue continues to be reported and followed through the</w:t>
      </w:r>
      <w:r w:rsidRPr="008C49BF">
        <w:rPr>
          <w:rFonts w:asciiTheme="minorHAnsi" w:eastAsia="Tahoma" w:hAnsiTheme="minorHAnsi"/>
          <w:sz w:val="24"/>
        </w:rPr>
        <w:t xml:space="preserve"> ODR.</w:t>
      </w:r>
    </w:p>
    <w:p w:rsidR="00206CCE" w:rsidRPr="005834C7" w:rsidRDefault="00206CCE" w:rsidP="00206CCE">
      <w:pPr>
        <w:pStyle w:val="ListParagraph"/>
        <w:numPr>
          <w:ilvl w:val="1"/>
          <w:numId w:val="6"/>
        </w:numPr>
        <w:spacing w:after="0" w:line="240" w:lineRule="auto"/>
        <w:rPr>
          <w:rFonts w:asciiTheme="minorHAnsi" w:eastAsia="Tahoma" w:hAnsiTheme="minorHAnsi"/>
          <w:sz w:val="24"/>
        </w:rPr>
      </w:pPr>
      <w:bookmarkStart w:id="3" w:name="_Hlk521316594"/>
      <w:r>
        <w:rPr>
          <w:rFonts w:asciiTheme="minorHAnsi" w:eastAsia="Tahoma" w:hAnsiTheme="minorHAnsi"/>
          <w:sz w:val="24"/>
        </w:rPr>
        <w:t xml:space="preserve">The LDD should agree this proposal with the </w:t>
      </w:r>
      <w:r w:rsidRPr="009647FE">
        <w:rPr>
          <w:rFonts w:asciiTheme="minorHAnsi" w:eastAsia="Tahoma" w:hAnsiTheme="minorHAnsi"/>
          <w:sz w:val="24"/>
        </w:rPr>
        <w:t>GMC’s QA programme manager for Scotland</w:t>
      </w:r>
      <w:r>
        <w:rPr>
          <w:rFonts w:asciiTheme="minorHAnsi" w:eastAsia="Tahoma" w:hAnsiTheme="minorHAnsi"/>
          <w:sz w:val="24"/>
        </w:rPr>
        <w:t>.</w:t>
      </w:r>
    </w:p>
    <w:p w:rsidR="00206CCE" w:rsidRDefault="00206CCE" w:rsidP="00206CCE">
      <w:pPr>
        <w:pStyle w:val="ListParagraph"/>
        <w:numPr>
          <w:ilvl w:val="1"/>
          <w:numId w:val="6"/>
        </w:numPr>
        <w:spacing w:after="0" w:line="240" w:lineRule="auto"/>
        <w:rPr>
          <w:rFonts w:asciiTheme="minorHAnsi" w:eastAsia="Tahoma" w:hAnsiTheme="minorHAnsi"/>
          <w:sz w:val="24"/>
        </w:rPr>
      </w:pPr>
      <w:r w:rsidRPr="008C49BF">
        <w:rPr>
          <w:rFonts w:asciiTheme="minorHAnsi" w:eastAsia="Tahoma" w:hAnsiTheme="minorHAnsi"/>
          <w:sz w:val="24"/>
        </w:rPr>
        <w:lastRenderedPageBreak/>
        <w:t>The status of the item on the ODR will be ‘request for closure’</w:t>
      </w:r>
      <w:r>
        <w:rPr>
          <w:rFonts w:asciiTheme="minorHAnsi" w:eastAsia="Tahoma" w:hAnsiTheme="minorHAnsi"/>
          <w:sz w:val="24"/>
        </w:rPr>
        <w:t xml:space="preserve"> by the QIM for the sQMG</w:t>
      </w:r>
      <w:r w:rsidRPr="008C49BF">
        <w:rPr>
          <w:rFonts w:asciiTheme="minorHAnsi" w:eastAsia="Tahoma" w:hAnsiTheme="minorHAnsi"/>
          <w:sz w:val="24"/>
        </w:rPr>
        <w:t xml:space="preserve"> when a case is being considered for de-escalation</w:t>
      </w:r>
      <w:r>
        <w:rPr>
          <w:rFonts w:asciiTheme="minorHAnsi" w:eastAsia="Tahoma" w:hAnsiTheme="minorHAnsi"/>
          <w:sz w:val="24"/>
        </w:rPr>
        <w:t>.</w:t>
      </w:r>
    </w:p>
    <w:p w:rsidR="00206CCE" w:rsidRDefault="00206CCE" w:rsidP="00206CCE">
      <w:pPr>
        <w:pStyle w:val="ListParagraph"/>
        <w:numPr>
          <w:ilvl w:val="1"/>
          <w:numId w:val="6"/>
        </w:numPr>
        <w:spacing w:after="0" w:line="240" w:lineRule="auto"/>
        <w:rPr>
          <w:rFonts w:asciiTheme="minorHAnsi" w:eastAsia="Tahoma" w:hAnsiTheme="minorHAnsi"/>
          <w:sz w:val="24"/>
        </w:rPr>
      </w:pPr>
      <w:r w:rsidRPr="008C49BF">
        <w:rPr>
          <w:rFonts w:asciiTheme="minorHAnsi" w:eastAsia="Tahoma" w:hAnsiTheme="minorHAnsi"/>
          <w:sz w:val="24"/>
        </w:rPr>
        <w:t xml:space="preserve">Once </w:t>
      </w:r>
      <w:r>
        <w:rPr>
          <w:rFonts w:asciiTheme="minorHAnsi" w:eastAsia="Tahoma" w:hAnsiTheme="minorHAnsi"/>
          <w:sz w:val="24"/>
        </w:rPr>
        <w:t xml:space="preserve">agreed, the GMC </w:t>
      </w:r>
      <w:r w:rsidRPr="008C49BF">
        <w:rPr>
          <w:rFonts w:asciiTheme="minorHAnsi" w:eastAsia="Tahoma" w:hAnsiTheme="minorHAnsi"/>
          <w:sz w:val="24"/>
        </w:rPr>
        <w:t xml:space="preserve">will write to </w:t>
      </w:r>
      <w:r>
        <w:rPr>
          <w:rFonts w:asciiTheme="minorHAnsi" w:eastAsia="Tahoma" w:hAnsiTheme="minorHAnsi"/>
          <w:sz w:val="24"/>
        </w:rPr>
        <w:t>the Deanery</w:t>
      </w:r>
      <w:r w:rsidRPr="008C49BF">
        <w:rPr>
          <w:rFonts w:asciiTheme="minorHAnsi" w:eastAsia="Tahoma" w:hAnsiTheme="minorHAnsi"/>
          <w:sz w:val="24"/>
        </w:rPr>
        <w:t xml:space="preserve"> and the LEP to confirm the de-escalation within 5 working days of the decision outcome.</w:t>
      </w:r>
    </w:p>
    <w:bookmarkEnd w:id="3"/>
    <w:p w:rsidR="00206CCE" w:rsidRPr="008C49BF" w:rsidRDefault="00206CCE" w:rsidP="00206CCE">
      <w:pPr>
        <w:pStyle w:val="ListParagraph"/>
        <w:numPr>
          <w:ilvl w:val="1"/>
          <w:numId w:val="6"/>
        </w:numPr>
        <w:spacing w:after="0" w:line="240" w:lineRule="auto"/>
        <w:rPr>
          <w:rFonts w:asciiTheme="minorHAnsi" w:eastAsia="Tahoma" w:hAnsiTheme="minorHAnsi"/>
          <w:sz w:val="24"/>
        </w:rPr>
      </w:pPr>
      <w:r>
        <w:rPr>
          <w:rFonts w:asciiTheme="minorHAnsi" w:eastAsia="Tahoma" w:hAnsiTheme="minorHAnsi"/>
          <w:sz w:val="24"/>
        </w:rPr>
        <w:t>The GMC will reassign the status of the case on the ODR. The GMC will assign a new QA code</w:t>
      </w:r>
      <w:r w:rsidRPr="008C49BF">
        <w:rPr>
          <w:rFonts w:asciiTheme="minorHAnsi" w:eastAsia="Tahoma" w:hAnsiTheme="minorHAnsi"/>
          <w:sz w:val="24"/>
        </w:rPr>
        <w:t xml:space="preserve"> after the de-escalation </w:t>
      </w:r>
      <w:r>
        <w:rPr>
          <w:rFonts w:asciiTheme="minorHAnsi" w:eastAsia="Tahoma" w:hAnsiTheme="minorHAnsi"/>
          <w:sz w:val="24"/>
        </w:rPr>
        <w:t xml:space="preserve">reflecting the opening of a new </w:t>
      </w:r>
      <w:r w:rsidRPr="008C49BF">
        <w:rPr>
          <w:rFonts w:asciiTheme="minorHAnsi" w:eastAsia="Tahoma" w:hAnsiTheme="minorHAnsi"/>
          <w:sz w:val="24"/>
        </w:rPr>
        <w:t>routine monitoring case</w:t>
      </w:r>
      <w:r>
        <w:rPr>
          <w:rFonts w:asciiTheme="minorHAnsi" w:eastAsia="Tahoma" w:hAnsiTheme="minorHAnsi"/>
          <w:sz w:val="24"/>
        </w:rPr>
        <w:t xml:space="preserve"> on the ODR</w:t>
      </w:r>
      <w:r w:rsidRPr="008C49BF">
        <w:rPr>
          <w:rFonts w:asciiTheme="minorHAnsi" w:eastAsia="Tahoma" w:hAnsiTheme="minorHAnsi"/>
          <w:sz w:val="24"/>
        </w:rPr>
        <w:t>.</w:t>
      </w:r>
    </w:p>
    <w:p w:rsidR="00206CCE" w:rsidRPr="008C49BF" w:rsidRDefault="00206CCE" w:rsidP="00206CCE">
      <w:pPr>
        <w:rPr>
          <w:rFonts w:asciiTheme="minorHAnsi" w:eastAsia="Tahoma" w:hAnsiTheme="minorHAnsi"/>
          <w:b/>
          <w:sz w:val="24"/>
        </w:rPr>
      </w:pPr>
      <w:r>
        <w:rPr>
          <w:rFonts w:asciiTheme="minorHAnsi" w:eastAsia="Tahoma" w:hAnsiTheme="minorHAnsi"/>
          <w:b/>
          <w:sz w:val="24"/>
        </w:rPr>
        <w:t xml:space="preserve">2. </w:t>
      </w:r>
      <w:r w:rsidRPr="008C49BF">
        <w:rPr>
          <w:rFonts w:asciiTheme="minorHAnsi" w:eastAsia="Tahoma" w:hAnsiTheme="minorHAnsi"/>
          <w:b/>
          <w:sz w:val="24"/>
        </w:rPr>
        <w:t>Resolution of the concern</w:t>
      </w:r>
    </w:p>
    <w:p w:rsidR="00206CCE" w:rsidRDefault="00206CCE" w:rsidP="00206CCE">
      <w:pPr>
        <w:pStyle w:val="ListParagraph"/>
        <w:numPr>
          <w:ilvl w:val="0"/>
          <w:numId w:val="5"/>
        </w:numPr>
        <w:spacing w:after="0" w:line="240" w:lineRule="auto"/>
        <w:ind w:left="1440" w:right="74"/>
        <w:rPr>
          <w:rFonts w:asciiTheme="minorHAnsi" w:eastAsia="Tahoma" w:hAnsiTheme="minorHAnsi"/>
          <w:sz w:val="24"/>
        </w:rPr>
      </w:pPr>
      <w:r>
        <w:rPr>
          <w:rFonts w:asciiTheme="minorHAnsi" w:eastAsia="Tahoma" w:hAnsiTheme="minorHAnsi"/>
          <w:sz w:val="24"/>
        </w:rPr>
        <w:t xml:space="preserve">Applies when the GMC and the Deanery are </w:t>
      </w:r>
      <w:r w:rsidRPr="008C49BF">
        <w:rPr>
          <w:rFonts w:asciiTheme="minorHAnsi" w:eastAsia="Tahoma" w:hAnsiTheme="minorHAnsi"/>
          <w:sz w:val="24"/>
        </w:rPr>
        <w:t xml:space="preserve">assured that the original issue has been </w:t>
      </w:r>
      <w:r>
        <w:rPr>
          <w:rFonts w:asciiTheme="minorHAnsi" w:eastAsia="Tahoma" w:hAnsiTheme="minorHAnsi"/>
          <w:sz w:val="24"/>
        </w:rPr>
        <w:t xml:space="preserve">fully </w:t>
      </w:r>
      <w:r w:rsidRPr="008C49BF">
        <w:rPr>
          <w:rFonts w:asciiTheme="minorHAnsi" w:eastAsia="Tahoma" w:hAnsiTheme="minorHAnsi"/>
          <w:sz w:val="24"/>
        </w:rPr>
        <w:t>addressed and the solution in place is sustainable</w:t>
      </w:r>
      <w:r>
        <w:rPr>
          <w:rFonts w:asciiTheme="minorHAnsi" w:eastAsia="Tahoma" w:hAnsiTheme="minorHAnsi"/>
          <w:sz w:val="24"/>
        </w:rPr>
        <w:t>.</w:t>
      </w:r>
    </w:p>
    <w:p w:rsidR="00206CCE" w:rsidRDefault="00206CCE" w:rsidP="00206CCE">
      <w:pPr>
        <w:pStyle w:val="ListParagraph"/>
        <w:numPr>
          <w:ilvl w:val="0"/>
          <w:numId w:val="5"/>
        </w:numPr>
        <w:spacing w:after="0" w:line="240" w:lineRule="auto"/>
        <w:ind w:left="1440" w:right="74"/>
        <w:rPr>
          <w:rFonts w:asciiTheme="minorHAnsi" w:eastAsia="Tahoma" w:hAnsiTheme="minorHAnsi"/>
          <w:sz w:val="24"/>
        </w:rPr>
      </w:pPr>
      <w:r>
        <w:rPr>
          <w:rFonts w:asciiTheme="minorHAnsi" w:eastAsia="Tahoma" w:hAnsiTheme="minorHAnsi"/>
          <w:sz w:val="24"/>
        </w:rPr>
        <w:t xml:space="preserve">In this circumstance there is no need for ongoing reporting through the ODR. </w:t>
      </w:r>
    </w:p>
    <w:p w:rsidR="00206CCE" w:rsidRPr="005834C7" w:rsidRDefault="00206CCE" w:rsidP="00206CCE">
      <w:pPr>
        <w:pStyle w:val="ListParagraph"/>
        <w:numPr>
          <w:ilvl w:val="0"/>
          <w:numId w:val="5"/>
        </w:numPr>
        <w:spacing w:after="0" w:line="240" w:lineRule="auto"/>
        <w:ind w:left="1440"/>
        <w:rPr>
          <w:rFonts w:asciiTheme="minorHAnsi" w:eastAsia="Tahoma" w:hAnsiTheme="minorHAnsi"/>
          <w:sz w:val="24"/>
        </w:rPr>
      </w:pPr>
      <w:r>
        <w:rPr>
          <w:rFonts w:asciiTheme="minorHAnsi" w:eastAsia="Tahoma" w:hAnsiTheme="minorHAnsi"/>
          <w:sz w:val="24"/>
        </w:rPr>
        <w:t xml:space="preserve">The LDD should agree this proposal with the </w:t>
      </w:r>
      <w:r w:rsidRPr="009647FE">
        <w:rPr>
          <w:rFonts w:asciiTheme="minorHAnsi" w:eastAsia="Tahoma" w:hAnsiTheme="minorHAnsi"/>
          <w:sz w:val="24"/>
        </w:rPr>
        <w:t>GMC’s QA programme manager for Scotland</w:t>
      </w:r>
      <w:r>
        <w:rPr>
          <w:rFonts w:asciiTheme="minorHAnsi" w:eastAsia="Tahoma" w:hAnsiTheme="minorHAnsi"/>
          <w:sz w:val="24"/>
        </w:rPr>
        <w:t>.</w:t>
      </w:r>
    </w:p>
    <w:p w:rsidR="00206CCE" w:rsidRDefault="00206CCE" w:rsidP="00206CCE">
      <w:pPr>
        <w:pStyle w:val="ListParagraph"/>
        <w:numPr>
          <w:ilvl w:val="0"/>
          <w:numId w:val="5"/>
        </w:numPr>
        <w:spacing w:after="0" w:line="240" w:lineRule="auto"/>
        <w:ind w:left="1440"/>
        <w:rPr>
          <w:rFonts w:asciiTheme="minorHAnsi" w:eastAsia="Tahoma" w:hAnsiTheme="minorHAnsi"/>
          <w:sz w:val="24"/>
        </w:rPr>
      </w:pPr>
      <w:r w:rsidRPr="008C49BF">
        <w:rPr>
          <w:rFonts w:asciiTheme="minorHAnsi" w:eastAsia="Tahoma" w:hAnsiTheme="minorHAnsi"/>
          <w:sz w:val="24"/>
        </w:rPr>
        <w:t>The status of the item on the ODR will be ‘request for closure’</w:t>
      </w:r>
      <w:r>
        <w:rPr>
          <w:rFonts w:asciiTheme="minorHAnsi" w:eastAsia="Tahoma" w:hAnsiTheme="minorHAnsi"/>
          <w:sz w:val="24"/>
        </w:rPr>
        <w:t xml:space="preserve"> by the QIM for the sQMG.</w:t>
      </w:r>
    </w:p>
    <w:p w:rsidR="00206CCE" w:rsidRPr="00545593" w:rsidRDefault="00206CCE" w:rsidP="00206CCE">
      <w:pPr>
        <w:pStyle w:val="ListParagraph"/>
        <w:numPr>
          <w:ilvl w:val="0"/>
          <w:numId w:val="5"/>
        </w:numPr>
        <w:spacing w:after="0" w:line="240" w:lineRule="auto"/>
        <w:ind w:left="1440"/>
        <w:rPr>
          <w:rFonts w:asciiTheme="minorHAnsi" w:eastAsia="Tahoma" w:hAnsiTheme="minorHAnsi"/>
          <w:sz w:val="24"/>
        </w:rPr>
      </w:pPr>
      <w:r w:rsidRPr="008C49BF">
        <w:rPr>
          <w:rFonts w:asciiTheme="minorHAnsi" w:eastAsia="Tahoma" w:hAnsiTheme="minorHAnsi"/>
          <w:sz w:val="24"/>
        </w:rPr>
        <w:t xml:space="preserve">Once </w:t>
      </w:r>
      <w:r>
        <w:rPr>
          <w:rFonts w:asciiTheme="minorHAnsi" w:eastAsia="Tahoma" w:hAnsiTheme="minorHAnsi"/>
          <w:sz w:val="24"/>
        </w:rPr>
        <w:t xml:space="preserve">agreed that the case has been resolved, the GMC </w:t>
      </w:r>
      <w:r w:rsidRPr="008C49BF">
        <w:rPr>
          <w:rFonts w:asciiTheme="minorHAnsi" w:eastAsia="Tahoma" w:hAnsiTheme="minorHAnsi"/>
          <w:sz w:val="24"/>
        </w:rPr>
        <w:t xml:space="preserve">will write to </w:t>
      </w:r>
      <w:r>
        <w:rPr>
          <w:rFonts w:asciiTheme="minorHAnsi" w:eastAsia="Tahoma" w:hAnsiTheme="minorHAnsi"/>
          <w:sz w:val="24"/>
        </w:rPr>
        <w:t>the Deanery</w:t>
      </w:r>
      <w:r w:rsidRPr="008C49BF">
        <w:rPr>
          <w:rFonts w:asciiTheme="minorHAnsi" w:eastAsia="Tahoma" w:hAnsiTheme="minorHAnsi"/>
          <w:sz w:val="24"/>
        </w:rPr>
        <w:t xml:space="preserve"> and the LEP to confirm the </w:t>
      </w:r>
      <w:r>
        <w:rPr>
          <w:rFonts w:asciiTheme="minorHAnsi" w:eastAsia="Tahoma" w:hAnsiTheme="minorHAnsi"/>
          <w:sz w:val="24"/>
        </w:rPr>
        <w:t>closure</w:t>
      </w:r>
      <w:r w:rsidRPr="008C49BF">
        <w:rPr>
          <w:rFonts w:asciiTheme="minorHAnsi" w:eastAsia="Tahoma" w:hAnsiTheme="minorHAnsi"/>
          <w:sz w:val="24"/>
        </w:rPr>
        <w:t xml:space="preserve"> within 5 working days of the decision outcome.</w:t>
      </w:r>
    </w:p>
    <w:p w:rsidR="00206CCE" w:rsidRDefault="00206CCE" w:rsidP="00206CCE">
      <w:pPr>
        <w:pStyle w:val="ListParagraph"/>
        <w:ind w:left="0" w:right="74"/>
        <w:rPr>
          <w:rFonts w:asciiTheme="minorHAnsi" w:eastAsia="Tahoma" w:hAnsiTheme="minorHAnsi"/>
          <w:b/>
          <w:sz w:val="24"/>
        </w:rPr>
      </w:pPr>
      <w:r>
        <w:rPr>
          <w:rFonts w:asciiTheme="minorHAnsi" w:eastAsia="Tahoma" w:hAnsiTheme="minorHAnsi"/>
          <w:b/>
          <w:sz w:val="24"/>
        </w:rPr>
        <w:t>C. What happens if, despite enhanced monitoring, the quality of the training environment does not improve, but training posts have been disestablished or discontinued?</w:t>
      </w:r>
    </w:p>
    <w:p w:rsidR="00206CCE" w:rsidRPr="00EA2E76" w:rsidRDefault="00206CCE" w:rsidP="00206CCE">
      <w:pPr>
        <w:spacing w:before="280" w:line="320" w:lineRule="exact"/>
        <w:ind w:right="74"/>
        <w:textAlignment w:val="baseline"/>
        <w:rPr>
          <w:rFonts w:asciiTheme="minorHAnsi" w:eastAsia="Tahoma" w:hAnsiTheme="minorHAnsi"/>
          <w:sz w:val="24"/>
        </w:rPr>
      </w:pPr>
      <w:r w:rsidRPr="00EA2E76">
        <w:rPr>
          <w:rFonts w:asciiTheme="minorHAnsi" w:eastAsia="Tahoma" w:hAnsiTheme="minorHAnsi"/>
          <w:sz w:val="24"/>
        </w:rPr>
        <w:t xml:space="preserve">The GMC </w:t>
      </w:r>
      <w:r>
        <w:rPr>
          <w:rFonts w:asciiTheme="minorHAnsi" w:eastAsia="Tahoma" w:hAnsiTheme="minorHAnsi"/>
          <w:sz w:val="24"/>
        </w:rPr>
        <w:t xml:space="preserve">may close </w:t>
      </w:r>
      <w:r w:rsidRPr="00EA2E76">
        <w:rPr>
          <w:rFonts w:asciiTheme="minorHAnsi" w:eastAsia="Tahoma" w:hAnsiTheme="minorHAnsi"/>
          <w:sz w:val="24"/>
        </w:rPr>
        <w:t>a case when enhanced monitoring ceases to apply e.g. removal of doctors in train</w:t>
      </w:r>
      <w:r>
        <w:rPr>
          <w:rFonts w:asciiTheme="minorHAnsi" w:eastAsia="Tahoma" w:hAnsiTheme="minorHAnsi"/>
          <w:sz w:val="24"/>
        </w:rPr>
        <w:t>ing from a training environment</w:t>
      </w:r>
      <w:r w:rsidRPr="00EA2E76">
        <w:rPr>
          <w:rFonts w:asciiTheme="minorHAnsi" w:eastAsia="Tahoma" w:hAnsiTheme="minorHAnsi"/>
          <w:sz w:val="24"/>
        </w:rPr>
        <w:t xml:space="preserve"> with no plans for reinstatement</w:t>
      </w:r>
      <w:r>
        <w:rPr>
          <w:rFonts w:asciiTheme="minorHAnsi" w:eastAsia="Tahoma" w:hAnsiTheme="minorHAnsi"/>
          <w:sz w:val="24"/>
        </w:rPr>
        <w:t>.</w:t>
      </w:r>
      <w:r w:rsidRPr="00EA2E76">
        <w:rPr>
          <w:rFonts w:asciiTheme="minorHAnsi" w:eastAsia="Tahoma" w:hAnsiTheme="minorHAnsi"/>
          <w:sz w:val="24"/>
        </w:rPr>
        <w:t xml:space="preserve"> If the removal of trainees is for the longer term then the concern will be closed on the shared system, with the status</w:t>
      </w:r>
      <w:r>
        <w:rPr>
          <w:rFonts w:asciiTheme="minorHAnsi" w:eastAsia="Tahoma" w:hAnsiTheme="minorHAnsi"/>
          <w:sz w:val="24"/>
        </w:rPr>
        <w:t xml:space="preserve"> of the case will be</w:t>
      </w:r>
      <w:r w:rsidRPr="00EA2E76">
        <w:rPr>
          <w:rFonts w:asciiTheme="minorHAnsi" w:eastAsia="Tahoma" w:hAnsiTheme="minorHAnsi"/>
          <w:sz w:val="24"/>
        </w:rPr>
        <w:t xml:space="preserve"> set to ‘closed’.</w:t>
      </w:r>
    </w:p>
    <w:p w:rsidR="000A69CC" w:rsidRDefault="000A69CC"/>
    <w:sectPr w:rsidR="000A69CC" w:rsidSect="00206CCE">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5FF7" w:rsidRDefault="001F5FF7" w:rsidP="00206CCE">
      <w:pPr>
        <w:spacing w:after="0" w:line="240" w:lineRule="auto"/>
      </w:pPr>
      <w:r>
        <w:separator/>
      </w:r>
    </w:p>
  </w:endnote>
  <w:endnote w:type="continuationSeparator" w:id="0">
    <w:p w:rsidR="001F5FF7" w:rsidRDefault="001F5FF7" w:rsidP="00206C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4407264"/>
      <w:docPartObj>
        <w:docPartGallery w:val="Page Numbers (Bottom of Page)"/>
        <w:docPartUnique/>
      </w:docPartObj>
    </w:sdtPr>
    <w:sdtContent>
      <w:sdt>
        <w:sdtPr>
          <w:id w:val="1728636285"/>
          <w:docPartObj>
            <w:docPartGallery w:val="Page Numbers (Top of Page)"/>
            <w:docPartUnique/>
          </w:docPartObj>
        </w:sdtPr>
        <w:sdtContent>
          <w:p w:rsidR="00206CCE" w:rsidRDefault="00206CC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206CCE" w:rsidRDefault="00206C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5FF7" w:rsidRDefault="001F5FF7" w:rsidP="00206CCE">
      <w:pPr>
        <w:spacing w:after="0" w:line="240" w:lineRule="auto"/>
      </w:pPr>
      <w:r>
        <w:separator/>
      </w:r>
    </w:p>
  </w:footnote>
  <w:footnote w:type="continuationSeparator" w:id="0">
    <w:p w:rsidR="001F5FF7" w:rsidRDefault="001F5FF7" w:rsidP="00206C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3397A"/>
    <w:multiLevelType w:val="hybridMultilevel"/>
    <w:tmpl w:val="7860774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D42D40"/>
    <w:multiLevelType w:val="hybridMultilevel"/>
    <w:tmpl w:val="5FC6A3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025342"/>
    <w:multiLevelType w:val="hybridMultilevel"/>
    <w:tmpl w:val="15329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EC0672"/>
    <w:multiLevelType w:val="hybridMultilevel"/>
    <w:tmpl w:val="14AEB9C0"/>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64C40367"/>
    <w:multiLevelType w:val="hybridMultilevel"/>
    <w:tmpl w:val="6A76B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C74CE7"/>
    <w:multiLevelType w:val="hybridMultilevel"/>
    <w:tmpl w:val="9C74B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206CCE"/>
    <w:rsid w:val="00000F20"/>
    <w:rsid w:val="000013C7"/>
    <w:rsid w:val="00001599"/>
    <w:rsid w:val="00001B0C"/>
    <w:rsid w:val="00001DD9"/>
    <w:rsid w:val="000050F1"/>
    <w:rsid w:val="00005609"/>
    <w:rsid w:val="00010C51"/>
    <w:rsid w:val="00011ADD"/>
    <w:rsid w:val="00011D3F"/>
    <w:rsid w:val="00012297"/>
    <w:rsid w:val="00012309"/>
    <w:rsid w:val="00012AAA"/>
    <w:rsid w:val="000142EE"/>
    <w:rsid w:val="000160BB"/>
    <w:rsid w:val="000173B5"/>
    <w:rsid w:val="000178AE"/>
    <w:rsid w:val="00017EE6"/>
    <w:rsid w:val="00020AAD"/>
    <w:rsid w:val="00021305"/>
    <w:rsid w:val="000241D4"/>
    <w:rsid w:val="00025367"/>
    <w:rsid w:val="00025871"/>
    <w:rsid w:val="00025968"/>
    <w:rsid w:val="00027511"/>
    <w:rsid w:val="000277BB"/>
    <w:rsid w:val="00027AA0"/>
    <w:rsid w:val="00030B1B"/>
    <w:rsid w:val="0003137F"/>
    <w:rsid w:val="0003238F"/>
    <w:rsid w:val="000327C8"/>
    <w:rsid w:val="000330DD"/>
    <w:rsid w:val="0003422A"/>
    <w:rsid w:val="00034F01"/>
    <w:rsid w:val="00035121"/>
    <w:rsid w:val="000369A4"/>
    <w:rsid w:val="00037F73"/>
    <w:rsid w:val="00040F7C"/>
    <w:rsid w:val="00040F9A"/>
    <w:rsid w:val="000423E7"/>
    <w:rsid w:val="0004374E"/>
    <w:rsid w:val="00044C4B"/>
    <w:rsid w:val="0004545A"/>
    <w:rsid w:val="00045FC7"/>
    <w:rsid w:val="00046286"/>
    <w:rsid w:val="0005046E"/>
    <w:rsid w:val="00050A10"/>
    <w:rsid w:val="00050B29"/>
    <w:rsid w:val="000515B8"/>
    <w:rsid w:val="00052AE6"/>
    <w:rsid w:val="000532E8"/>
    <w:rsid w:val="000533C1"/>
    <w:rsid w:val="0005557B"/>
    <w:rsid w:val="00056CCA"/>
    <w:rsid w:val="00056D2C"/>
    <w:rsid w:val="000576E4"/>
    <w:rsid w:val="0006071F"/>
    <w:rsid w:val="0006142B"/>
    <w:rsid w:val="00062B30"/>
    <w:rsid w:val="00062B6F"/>
    <w:rsid w:val="00066F80"/>
    <w:rsid w:val="00070541"/>
    <w:rsid w:val="000711B4"/>
    <w:rsid w:val="000720B3"/>
    <w:rsid w:val="00073FB2"/>
    <w:rsid w:val="000752BA"/>
    <w:rsid w:val="0007571E"/>
    <w:rsid w:val="00075BE1"/>
    <w:rsid w:val="00075D1A"/>
    <w:rsid w:val="00076566"/>
    <w:rsid w:val="0008229C"/>
    <w:rsid w:val="00085542"/>
    <w:rsid w:val="00085B31"/>
    <w:rsid w:val="00090683"/>
    <w:rsid w:val="00090E30"/>
    <w:rsid w:val="0009113E"/>
    <w:rsid w:val="00092E8A"/>
    <w:rsid w:val="0009346E"/>
    <w:rsid w:val="00094DD8"/>
    <w:rsid w:val="00094E1A"/>
    <w:rsid w:val="00096121"/>
    <w:rsid w:val="0009670C"/>
    <w:rsid w:val="00096C1C"/>
    <w:rsid w:val="000A0758"/>
    <w:rsid w:val="000A1C7D"/>
    <w:rsid w:val="000A22F9"/>
    <w:rsid w:val="000A2A08"/>
    <w:rsid w:val="000A5764"/>
    <w:rsid w:val="000A601F"/>
    <w:rsid w:val="000A69CC"/>
    <w:rsid w:val="000B0EB2"/>
    <w:rsid w:val="000B1497"/>
    <w:rsid w:val="000B1C82"/>
    <w:rsid w:val="000B1E55"/>
    <w:rsid w:val="000B33BA"/>
    <w:rsid w:val="000B3865"/>
    <w:rsid w:val="000B4093"/>
    <w:rsid w:val="000B4FF6"/>
    <w:rsid w:val="000B5152"/>
    <w:rsid w:val="000B5D16"/>
    <w:rsid w:val="000B5D37"/>
    <w:rsid w:val="000B6156"/>
    <w:rsid w:val="000B77BC"/>
    <w:rsid w:val="000B7C0A"/>
    <w:rsid w:val="000C03D4"/>
    <w:rsid w:val="000C0B09"/>
    <w:rsid w:val="000C1169"/>
    <w:rsid w:val="000C1445"/>
    <w:rsid w:val="000C1D73"/>
    <w:rsid w:val="000C1FB1"/>
    <w:rsid w:val="000C40A5"/>
    <w:rsid w:val="000C468F"/>
    <w:rsid w:val="000C4955"/>
    <w:rsid w:val="000C7EB5"/>
    <w:rsid w:val="000D0612"/>
    <w:rsid w:val="000D0786"/>
    <w:rsid w:val="000D26B0"/>
    <w:rsid w:val="000D3759"/>
    <w:rsid w:val="000D3775"/>
    <w:rsid w:val="000D387B"/>
    <w:rsid w:val="000D3B7B"/>
    <w:rsid w:val="000D4614"/>
    <w:rsid w:val="000D4BE4"/>
    <w:rsid w:val="000D561A"/>
    <w:rsid w:val="000D5C15"/>
    <w:rsid w:val="000D6894"/>
    <w:rsid w:val="000D7D5E"/>
    <w:rsid w:val="000E098D"/>
    <w:rsid w:val="000E1A8D"/>
    <w:rsid w:val="000E2FCA"/>
    <w:rsid w:val="000E39F3"/>
    <w:rsid w:val="000E424C"/>
    <w:rsid w:val="000E492C"/>
    <w:rsid w:val="000E5182"/>
    <w:rsid w:val="000E5EAF"/>
    <w:rsid w:val="000F2660"/>
    <w:rsid w:val="000F352A"/>
    <w:rsid w:val="000F37B1"/>
    <w:rsid w:val="000F40EF"/>
    <w:rsid w:val="000F4C5E"/>
    <w:rsid w:val="000F5920"/>
    <w:rsid w:val="000F5EEF"/>
    <w:rsid w:val="000F6728"/>
    <w:rsid w:val="000F67D8"/>
    <w:rsid w:val="000F6957"/>
    <w:rsid w:val="000F7AAE"/>
    <w:rsid w:val="000F7EBF"/>
    <w:rsid w:val="00100820"/>
    <w:rsid w:val="001018A3"/>
    <w:rsid w:val="001020C2"/>
    <w:rsid w:val="00103B21"/>
    <w:rsid w:val="00104125"/>
    <w:rsid w:val="001042E1"/>
    <w:rsid w:val="00104352"/>
    <w:rsid w:val="00104364"/>
    <w:rsid w:val="00104440"/>
    <w:rsid w:val="00104588"/>
    <w:rsid w:val="00104A39"/>
    <w:rsid w:val="00104B25"/>
    <w:rsid w:val="00105386"/>
    <w:rsid w:val="001068F9"/>
    <w:rsid w:val="00107B90"/>
    <w:rsid w:val="00107B92"/>
    <w:rsid w:val="00110618"/>
    <w:rsid w:val="00111472"/>
    <w:rsid w:val="00114105"/>
    <w:rsid w:val="0011579A"/>
    <w:rsid w:val="0011616E"/>
    <w:rsid w:val="0011625F"/>
    <w:rsid w:val="0011732D"/>
    <w:rsid w:val="00117EBB"/>
    <w:rsid w:val="00121576"/>
    <w:rsid w:val="001218DE"/>
    <w:rsid w:val="00121B28"/>
    <w:rsid w:val="00121C94"/>
    <w:rsid w:val="001239D7"/>
    <w:rsid w:val="0012663A"/>
    <w:rsid w:val="001273F2"/>
    <w:rsid w:val="001277DF"/>
    <w:rsid w:val="00127FC9"/>
    <w:rsid w:val="001304EE"/>
    <w:rsid w:val="0013148F"/>
    <w:rsid w:val="00131576"/>
    <w:rsid w:val="00131EDE"/>
    <w:rsid w:val="00132CB4"/>
    <w:rsid w:val="00132E9E"/>
    <w:rsid w:val="00133493"/>
    <w:rsid w:val="00134483"/>
    <w:rsid w:val="001345EF"/>
    <w:rsid w:val="00134B8A"/>
    <w:rsid w:val="001362FA"/>
    <w:rsid w:val="00136B39"/>
    <w:rsid w:val="00137DFD"/>
    <w:rsid w:val="00141348"/>
    <w:rsid w:val="00144B6D"/>
    <w:rsid w:val="00144D4E"/>
    <w:rsid w:val="00150405"/>
    <w:rsid w:val="001514EF"/>
    <w:rsid w:val="001515D3"/>
    <w:rsid w:val="00152456"/>
    <w:rsid w:val="0015287E"/>
    <w:rsid w:val="00152888"/>
    <w:rsid w:val="00153371"/>
    <w:rsid w:val="0015426B"/>
    <w:rsid w:val="00154919"/>
    <w:rsid w:val="001556D0"/>
    <w:rsid w:val="00157182"/>
    <w:rsid w:val="00157E7B"/>
    <w:rsid w:val="00161604"/>
    <w:rsid w:val="00163E53"/>
    <w:rsid w:val="00165BB0"/>
    <w:rsid w:val="00165CC5"/>
    <w:rsid w:val="00166804"/>
    <w:rsid w:val="0016698D"/>
    <w:rsid w:val="001671A3"/>
    <w:rsid w:val="001672FE"/>
    <w:rsid w:val="0016731E"/>
    <w:rsid w:val="00167792"/>
    <w:rsid w:val="00170F30"/>
    <w:rsid w:val="00170FEB"/>
    <w:rsid w:val="001725FA"/>
    <w:rsid w:val="00172B55"/>
    <w:rsid w:val="00172EA9"/>
    <w:rsid w:val="00173F48"/>
    <w:rsid w:val="0017557A"/>
    <w:rsid w:val="0017676E"/>
    <w:rsid w:val="00176879"/>
    <w:rsid w:val="00177CFB"/>
    <w:rsid w:val="00180E46"/>
    <w:rsid w:val="00182AB4"/>
    <w:rsid w:val="001850D9"/>
    <w:rsid w:val="00185D35"/>
    <w:rsid w:val="00185FBE"/>
    <w:rsid w:val="00186F49"/>
    <w:rsid w:val="001872EC"/>
    <w:rsid w:val="00187B45"/>
    <w:rsid w:val="00187C89"/>
    <w:rsid w:val="00187DB6"/>
    <w:rsid w:val="00190D3E"/>
    <w:rsid w:val="00191C06"/>
    <w:rsid w:val="00194F4C"/>
    <w:rsid w:val="00195919"/>
    <w:rsid w:val="00197799"/>
    <w:rsid w:val="001A05A0"/>
    <w:rsid w:val="001A096C"/>
    <w:rsid w:val="001A0F02"/>
    <w:rsid w:val="001A3472"/>
    <w:rsid w:val="001A3AF8"/>
    <w:rsid w:val="001A465D"/>
    <w:rsid w:val="001A4CD5"/>
    <w:rsid w:val="001A5F38"/>
    <w:rsid w:val="001A6EAA"/>
    <w:rsid w:val="001A778B"/>
    <w:rsid w:val="001B0451"/>
    <w:rsid w:val="001B14B1"/>
    <w:rsid w:val="001B2BBE"/>
    <w:rsid w:val="001B3F94"/>
    <w:rsid w:val="001B5E5F"/>
    <w:rsid w:val="001B61A7"/>
    <w:rsid w:val="001B6B75"/>
    <w:rsid w:val="001B6CFE"/>
    <w:rsid w:val="001B70D6"/>
    <w:rsid w:val="001B7437"/>
    <w:rsid w:val="001C09CB"/>
    <w:rsid w:val="001C3B83"/>
    <w:rsid w:val="001C4EF0"/>
    <w:rsid w:val="001C6782"/>
    <w:rsid w:val="001C7E6C"/>
    <w:rsid w:val="001D00D7"/>
    <w:rsid w:val="001D1075"/>
    <w:rsid w:val="001D17DF"/>
    <w:rsid w:val="001D32B7"/>
    <w:rsid w:val="001D4B96"/>
    <w:rsid w:val="001D694F"/>
    <w:rsid w:val="001D72C9"/>
    <w:rsid w:val="001D7FE1"/>
    <w:rsid w:val="001E02BF"/>
    <w:rsid w:val="001E02ED"/>
    <w:rsid w:val="001E0696"/>
    <w:rsid w:val="001E0C55"/>
    <w:rsid w:val="001E0F2F"/>
    <w:rsid w:val="001E17A7"/>
    <w:rsid w:val="001E3FBE"/>
    <w:rsid w:val="001E5728"/>
    <w:rsid w:val="001E6315"/>
    <w:rsid w:val="001E7267"/>
    <w:rsid w:val="001F0B54"/>
    <w:rsid w:val="001F117E"/>
    <w:rsid w:val="001F1613"/>
    <w:rsid w:val="001F181A"/>
    <w:rsid w:val="001F229E"/>
    <w:rsid w:val="001F24E7"/>
    <w:rsid w:val="001F2DB6"/>
    <w:rsid w:val="001F3918"/>
    <w:rsid w:val="001F3B39"/>
    <w:rsid w:val="001F56FB"/>
    <w:rsid w:val="001F57BF"/>
    <w:rsid w:val="001F5B97"/>
    <w:rsid w:val="001F5FF7"/>
    <w:rsid w:val="001F7207"/>
    <w:rsid w:val="0020048C"/>
    <w:rsid w:val="002028AB"/>
    <w:rsid w:val="0020333E"/>
    <w:rsid w:val="0020525C"/>
    <w:rsid w:val="0020627A"/>
    <w:rsid w:val="00206937"/>
    <w:rsid w:val="00206CCE"/>
    <w:rsid w:val="00207BC7"/>
    <w:rsid w:val="00210F32"/>
    <w:rsid w:val="0021118A"/>
    <w:rsid w:val="00213455"/>
    <w:rsid w:val="00213E91"/>
    <w:rsid w:val="002148CF"/>
    <w:rsid w:val="0021560C"/>
    <w:rsid w:val="002156ED"/>
    <w:rsid w:val="00215B24"/>
    <w:rsid w:val="00217EC5"/>
    <w:rsid w:val="00221DB5"/>
    <w:rsid w:val="00222946"/>
    <w:rsid w:val="00222C6C"/>
    <w:rsid w:val="002236D9"/>
    <w:rsid w:val="002249B0"/>
    <w:rsid w:val="00227369"/>
    <w:rsid w:val="00232431"/>
    <w:rsid w:val="00232D3E"/>
    <w:rsid w:val="002335D9"/>
    <w:rsid w:val="002350C9"/>
    <w:rsid w:val="002352A2"/>
    <w:rsid w:val="00235773"/>
    <w:rsid w:val="00235DC4"/>
    <w:rsid w:val="00237D01"/>
    <w:rsid w:val="00240AEA"/>
    <w:rsid w:val="00240FD0"/>
    <w:rsid w:val="002432A6"/>
    <w:rsid w:val="0024373D"/>
    <w:rsid w:val="00244FAF"/>
    <w:rsid w:val="002456EC"/>
    <w:rsid w:val="0024617E"/>
    <w:rsid w:val="002479E6"/>
    <w:rsid w:val="00250580"/>
    <w:rsid w:val="0025171C"/>
    <w:rsid w:val="00253AF5"/>
    <w:rsid w:val="002544C2"/>
    <w:rsid w:val="0025451B"/>
    <w:rsid w:val="00255902"/>
    <w:rsid w:val="00256EA7"/>
    <w:rsid w:val="00257B8E"/>
    <w:rsid w:val="00261689"/>
    <w:rsid w:val="002621EA"/>
    <w:rsid w:val="00263538"/>
    <w:rsid w:val="002659AA"/>
    <w:rsid w:val="00267001"/>
    <w:rsid w:val="00271EE5"/>
    <w:rsid w:val="002734F5"/>
    <w:rsid w:val="00275A8D"/>
    <w:rsid w:val="00280448"/>
    <w:rsid w:val="0028148C"/>
    <w:rsid w:val="002832A4"/>
    <w:rsid w:val="00283A9E"/>
    <w:rsid w:val="00283B64"/>
    <w:rsid w:val="00284B5F"/>
    <w:rsid w:val="00286018"/>
    <w:rsid w:val="00287DF7"/>
    <w:rsid w:val="002918B8"/>
    <w:rsid w:val="00291EC4"/>
    <w:rsid w:val="0029263F"/>
    <w:rsid w:val="002927B2"/>
    <w:rsid w:val="00294B6F"/>
    <w:rsid w:val="00294BDD"/>
    <w:rsid w:val="00296BD0"/>
    <w:rsid w:val="002970C6"/>
    <w:rsid w:val="002972CB"/>
    <w:rsid w:val="002A1253"/>
    <w:rsid w:val="002A1283"/>
    <w:rsid w:val="002A2E5D"/>
    <w:rsid w:val="002A33DD"/>
    <w:rsid w:val="002A3BB7"/>
    <w:rsid w:val="002A3E26"/>
    <w:rsid w:val="002A3F79"/>
    <w:rsid w:val="002A4772"/>
    <w:rsid w:val="002A5211"/>
    <w:rsid w:val="002A5D64"/>
    <w:rsid w:val="002A5EB9"/>
    <w:rsid w:val="002A67B9"/>
    <w:rsid w:val="002A7435"/>
    <w:rsid w:val="002B05C9"/>
    <w:rsid w:val="002B167D"/>
    <w:rsid w:val="002B1DB1"/>
    <w:rsid w:val="002B3CDE"/>
    <w:rsid w:val="002B4FCE"/>
    <w:rsid w:val="002B56EA"/>
    <w:rsid w:val="002B643E"/>
    <w:rsid w:val="002B6B8C"/>
    <w:rsid w:val="002B73CF"/>
    <w:rsid w:val="002B752C"/>
    <w:rsid w:val="002C13B8"/>
    <w:rsid w:val="002C1E0D"/>
    <w:rsid w:val="002C1EEE"/>
    <w:rsid w:val="002C34AC"/>
    <w:rsid w:val="002C395B"/>
    <w:rsid w:val="002C5EEE"/>
    <w:rsid w:val="002D04CC"/>
    <w:rsid w:val="002D245B"/>
    <w:rsid w:val="002D3609"/>
    <w:rsid w:val="002D4AA0"/>
    <w:rsid w:val="002D4DD9"/>
    <w:rsid w:val="002D4F9E"/>
    <w:rsid w:val="002D584E"/>
    <w:rsid w:val="002D6CED"/>
    <w:rsid w:val="002E027D"/>
    <w:rsid w:val="002E1023"/>
    <w:rsid w:val="002E1C29"/>
    <w:rsid w:val="002E1FAE"/>
    <w:rsid w:val="002E2039"/>
    <w:rsid w:val="002E2D89"/>
    <w:rsid w:val="002E30F3"/>
    <w:rsid w:val="002E31BC"/>
    <w:rsid w:val="002E378B"/>
    <w:rsid w:val="002E46A7"/>
    <w:rsid w:val="002E6160"/>
    <w:rsid w:val="002E65B2"/>
    <w:rsid w:val="002E6822"/>
    <w:rsid w:val="002E6F5B"/>
    <w:rsid w:val="002E7031"/>
    <w:rsid w:val="002E7A2D"/>
    <w:rsid w:val="002E7CD4"/>
    <w:rsid w:val="002F08D8"/>
    <w:rsid w:val="002F4FE5"/>
    <w:rsid w:val="002F512D"/>
    <w:rsid w:val="002F635B"/>
    <w:rsid w:val="003008F6"/>
    <w:rsid w:val="00300A11"/>
    <w:rsid w:val="0030135E"/>
    <w:rsid w:val="0030170C"/>
    <w:rsid w:val="003018DE"/>
    <w:rsid w:val="003018F6"/>
    <w:rsid w:val="00302DBA"/>
    <w:rsid w:val="003033FC"/>
    <w:rsid w:val="003045B3"/>
    <w:rsid w:val="00304C1B"/>
    <w:rsid w:val="00304F46"/>
    <w:rsid w:val="00305363"/>
    <w:rsid w:val="0030718F"/>
    <w:rsid w:val="00310294"/>
    <w:rsid w:val="00310733"/>
    <w:rsid w:val="00310917"/>
    <w:rsid w:val="003109F2"/>
    <w:rsid w:val="003110A6"/>
    <w:rsid w:val="00311CA9"/>
    <w:rsid w:val="00315988"/>
    <w:rsid w:val="00315DD3"/>
    <w:rsid w:val="003208C5"/>
    <w:rsid w:val="003212A5"/>
    <w:rsid w:val="00321646"/>
    <w:rsid w:val="003223B2"/>
    <w:rsid w:val="003224DC"/>
    <w:rsid w:val="00322671"/>
    <w:rsid w:val="00323627"/>
    <w:rsid w:val="003245F2"/>
    <w:rsid w:val="00325B0B"/>
    <w:rsid w:val="00326742"/>
    <w:rsid w:val="003268F8"/>
    <w:rsid w:val="00327535"/>
    <w:rsid w:val="00330BC3"/>
    <w:rsid w:val="00331048"/>
    <w:rsid w:val="003320C3"/>
    <w:rsid w:val="00333815"/>
    <w:rsid w:val="00335C2D"/>
    <w:rsid w:val="00336999"/>
    <w:rsid w:val="00336CA3"/>
    <w:rsid w:val="003374F7"/>
    <w:rsid w:val="00337588"/>
    <w:rsid w:val="00340906"/>
    <w:rsid w:val="0034254D"/>
    <w:rsid w:val="00343A35"/>
    <w:rsid w:val="00343AC6"/>
    <w:rsid w:val="00344610"/>
    <w:rsid w:val="00344A0E"/>
    <w:rsid w:val="00344B2E"/>
    <w:rsid w:val="00350467"/>
    <w:rsid w:val="00351863"/>
    <w:rsid w:val="00351BA2"/>
    <w:rsid w:val="00352DA1"/>
    <w:rsid w:val="003548A8"/>
    <w:rsid w:val="003548DD"/>
    <w:rsid w:val="00356EC6"/>
    <w:rsid w:val="00360BED"/>
    <w:rsid w:val="00362ECC"/>
    <w:rsid w:val="00363366"/>
    <w:rsid w:val="00363975"/>
    <w:rsid w:val="00363AC3"/>
    <w:rsid w:val="00363BDD"/>
    <w:rsid w:val="00363FBB"/>
    <w:rsid w:val="0036458E"/>
    <w:rsid w:val="003646EA"/>
    <w:rsid w:val="00365B3A"/>
    <w:rsid w:val="003665D6"/>
    <w:rsid w:val="00366CD4"/>
    <w:rsid w:val="00367DA4"/>
    <w:rsid w:val="00370959"/>
    <w:rsid w:val="00371B7B"/>
    <w:rsid w:val="00371D8C"/>
    <w:rsid w:val="00372A83"/>
    <w:rsid w:val="00372BD3"/>
    <w:rsid w:val="00374B2B"/>
    <w:rsid w:val="00375489"/>
    <w:rsid w:val="00375905"/>
    <w:rsid w:val="00376EBD"/>
    <w:rsid w:val="00382EF0"/>
    <w:rsid w:val="00385265"/>
    <w:rsid w:val="00385A9F"/>
    <w:rsid w:val="0038656F"/>
    <w:rsid w:val="003865A5"/>
    <w:rsid w:val="00386A43"/>
    <w:rsid w:val="00386D44"/>
    <w:rsid w:val="00386DB2"/>
    <w:rsid w:val="00387707"/>
    <w:rsid w:val="00387F30"/>
    <w:rsid w:val="00390950"/>
    <w:rsid w:val="00390DC5"/>
    <w:rsid w:val="003922DA"/>
    <w:rsid w:val="003930B5"/>
    <w:rsid w:val="003959BC"/>
    <w:rsid w:val="0039611B"/>
    <w:rsid w:val="00396131"/>
    <w:rsid w:val="0039664D"/>
    <w:rsid w:val="003A0044"/>
    <w:rsid w:val="003A183A"/>
    <w:rsid w:val="003A33A7"/>
    <w:rsid w:val="003A4E7C"/>
    <w:rsid w:val="003A6E5A"/>
    <w:rsid w:val="003B03DE"/>
    <w:rsid w:val="003B1E18"/>
    <w:rsid w:val="003B24FA"/>
    <w:rsid w:val="003B2980"/>
    <w:rsid w:val="003B30A7"/>
    <w:rsid w:val="003B3521"/>
    <w:rsid w:val="003B3B52"/>
    <w:rsid w:val="003B403A"/>
    <w:rsid w:val="003B4501"/>
    <w:rsid w:val="003B5736"/>
    <w:rsid w:val="003B64C3"/>
    <w:rsid w:val="003C017F"/>
    <w:rsid w:val="003C1719"/>
    <w:rsid w:val="003C3F60"/>
    <w:rsid w:val="003C4A09"/>
    <w:rsid w:val="003C4BD8"/>
    <w:rsid w:val="003C5122"/>
    <w:rsid w:val="003C74D0"/>
    <w:rsid w:val="003C7592"/>
    <w:rsid w:val="003D262F"/>
    <w:rsid w:val="003D2D23"/>
    <w:rsid w:val="003D33C2"/>
    <w:rsid w:val="003D5908"/>
    <w:rsid w:val="003D6B49"/>
    <w:rsid w:val="003E096F"/>
    <w:rsid w:val="003E27FD"/>
    <w:rsid w:val="003E2C4E"/>
    <w:rsid w:val="003E3397"/>
    <w:rsid w:val="003E49D5"/>
    <w:rsid w:val="003E6388"/>
    <w:rsid w:val="003E677A"/>
    <w:rsid w:val="003E6ABE"/>
    <w:rsid w:val="003E7CA7"/>
    <w:rsid w:val="003F01C5"/>
    <w:rsid w:val="003F1020"/>
    <w:rsid w:val="003F11BF"/>
    <w:rsid w:val="003F2397"/>
    <w:rsid w:val="003F27F9"/>
    <w:rsid w:val="003F4EE1"/>
    <w:rsid w:val="003F501A"/>
    <w:rsid w:val="003F50E8"/>
    <w:rsid w:val="003F677B"/>
    <w:rsid w:val="003F77B1"/>
    <w:rsid w:val="00400C70"/>
    <w:rsid w:val="00400C7D"/>
    <w:rsid w:val="0040163D"/>
    <w:rsid w:val="004022C0"/>
    <w:rsid w:val="0040320D"/>
    <w:rsid w:val="00403234"/>
    <w:rsid w:val="00404A2C"/>
    <w:rsid w:val="00407EB3"/>
    <w:rsid w:val="00412A76"/>
    <w:rsid w:val="00412E70"/>
    <w:rsid w:val="00413D18"/>
    <w:rsid w:val="004143BE"/>
    <w:rsid w:val="00414B3B"/>
    <w:rsid w:val="00414E29"/>
    <w:rsid w:val="00414FB6"/>
    <w:rsid w:val="00416094"/>
    <w:rsid w:val="00416515"/>
    <w:rsid w:val="00417536"/>
    <w:rsid w:val="00420A9E"/>
    <w:rsid w:val="00421059"/>
    <w:rsid w:val="004211DC"/>
    <w:rsid w:val="00421785"/>
    <w:rsid w:val="00421DF0"/>
    <w:rsid w:val="00423B72"/>
    <w:rsid w:val="004244CF"/>
    <w:rsid w:val="00424567"/>
    <w:rsid w:val="00425AB5"/>
    <w:rsid w:val="00426D1F"/>
    <w:rsid w:val="004271DA"/>
    <w:rsid w:val="00427BAF"/>
    <w:rsid w:val="0043036F"/>
    <w:rsid w:val="004304D8"/>
    <w:rsid w:val="00431061"/>
    <w:rsid w:val="00431156"/>
    <w:rsid w:val="00432C2A"/>
    <w:rsid w:val="00433B12"/>
    <w:rsid w:val="0043472A"/>
    <w:rsid w:val="00436226"/>
    <w:rsid w:val="00437BA9"/>
    <w:rsid w:val="00437BF6"/>
    <w:rsid w:val="00440419"/>
    <w:rsid w:val="00441AA4"/>
    <w:rsid w:val="00441BD6"/>
    <w:rsid w:val="004434AE"/>
    <w:rsid w:val="00443B26"/>
    <w:rsid w:val="00443E28"/>
    <w:rsid w:val="004443F8"/>
    <w:rsid w:val="00445B56"/>
    <w:rsid w:val="004513EC"/>
    <w:rsid w:val="0045264B"/>
    <w:rsid w:val="004534F8"/>
    <w:rsid w:val="004539C6"/>
    <w:rsid w:val="00454CD1"/>
    <w:rsid w:val="00455B39"/>
    <w:rsid w:val="00455D1F"/>
    <w:rsid w:val="00455D3D"/>
    <w:rsid w:val="0045644C"/>
    <w:rsid w:val="0046006B"/>
    <w:rsid w:val="004606B8"/>
    <w:rsid w:val="00460949"/>
    <w:rsid w:val="00460965"/>
    <w:rsid w:val="00460A5E"/>
    <w:rsid w:val="00460CB5"/>
    <w:rsid w:val="00460E91"/>
    <w:rsid w:val="00462487"/>
    <w:rsid w:val="00464A11"/>
    <w:rsid w:val="00464ED0"/>
    <w:rsid w:val="00465912"/>
    <w:rsid w:val="004659F9"/>
    <w:rsid w:val="0046633F"/>
    <w:rsid w:val="00466F5B"/>
    <w:rsid w:val="00467318"/>
    <w:rsid w:val="00467C7B"/>
    <w:rsid w:val="0047033C"/>
    <w:rsid w:val="00470702"/>
    <w:rsid w:val="004710BD"/>
    <w:rsid w:val="00471140"/>
    <w:rsid w:val="00472F0B"/>
    <w:rsid w:val="004731EA"/>
    <w:rsid w:val="004733FA"/>
    <w:rsid w:val="00476884"/>
    <w:rsid w:val="00477BD3"/>
    <w:rsid w:val="004809DC"/>
    <w:rsid w:val="00481AEC"/>
    <w:rsid w:val="00481FCC"/>
    <w:rsid w:val="00482392"/>
    <w:rsid w:val="0048279B"/>
    <w:rsid w:val="004832E8"/>
    <w:rsid w:val="00484F04"/>
    <w:rsid w:val="00485722"/>
    <w:rsid w:val="00486803"/>
    <w:rsid w:val="00487357"/>
    <w:rsid w:val="00487735"/>
    <w:rsid w:val="004902B1"/>
    <w:rsid w:val="00490810"/>
    <w:rsid w:val="00492C85"/>
    <w:rsid w:val="00493F4B"/>
    <w:rsid w:val="00494425"/>
    <w:rsid w:val="004966C2"/>
    <w:rsid w:val="00497280"/>
    <w:rsid w:val="00497F7A"/>
    <w:rsid w:val="004A3CD5"/>
    <w:rsid w:val="004A4419"/>
    <w:rsid w:val="004A4A4E"/>
    <w:rsid w:val="004A5A84"/>
    <w:rsid w:val="004A7687"/>
    <w:rsid w:val="004A782B"/>
    <w:rsid w:val="004A78DF"/>
    <w:rsid w:val="004A7DA0"/>
    <w:rsid w:val="004B07DF"/>
    <w:rsid w:val="004B2052"/>
    <w:rsid w:val="004B29AE"/>
    <w:rsid w:val="004B2AE0"/>
    <w:rsid w:val="004B2D8B"/>
    <w:rsid w:val="004B6A05"/>
    <w:rsid w:val="004B74A8"/>
    <w:rsid w:val="004C0E12"/>
    <w:rsid w:val="004C1420"/>
    <w:rsid w:val="004C3376"/>
    <w:rsid w:val="004C3600"/>
    <w:rsid w:val="004C565E"/>
    <w:rsid w:val="004C681F"/>
    <w:rsid w:val="004C7CC0"/>
    <w:rsid w:val="004D1872"/>
    <w:rsid w:val="004D1FD9"/>
    <w:rsid w:val="004D2545"/>
    <w:rsid w:val="004D3CC6"/>
    <w:rsid w:val="004D44CB"/>
    <w:rsid w:val="004D4AF6"/>
    <w:rsid w:val="004D50BD"/>
    <w:rsid w:val="004D53BF"/>
    <w:rsid w:val="004D5AC6"/>
    <w:rsid w:val="004D63A4"/>
    <w:rsid w:val="004D6E70"/>
    <w:rsid w:val="004D7159"/>
    <w:rsid w:val="004D7A79"/>
    <w:rsid w:val="004E0447"/>
    <w:rsid w:val="004E0EB1"/>
    <w:rsid w:val="004E0FE0"/>
    <w:rsid w:val="004E1BEE"/>
    <w:rsid w:val="004E3A28"/>
    <w:rsid w:val="004E42DF"/>
    <w:rsid w:val="004E5039"/>
    <w:rsid w:val="004E6902"/>
    <w:rsid w:val="004E6E0F"/>
    <w:rsid w:val="004F10B3"/>
    <w:rsid w:val="004F2648"/>
    <w:rsid w:val="004F305D"/>
    <w:rsid w:val="004F52EB"/>
    <w:rsid w:val="004F56D4"/>
    <w:rsid w:val="004F6871"/>
    <w:rsid w:val="004F7504"/>
    <w:rsid w:val="00501299"/>
    <w:rsid w:val="005018E1"/>
    <w:rsid w:val="00503808"/>
    <w:rsid w:val="005039B7"/>
    <w:rsid w:val="00504BE2"/>
    <w:rsid w:val="005059A1"/>
    <w:rsid w:val="00506277"/>
    <w:rsid w:val="005065BB"/>
    <w:rsid w:val="00506BF1"/>
    <w:rsid w:val="00507D9E"/>
    <w:rsid w:val="0051281A"/>
    <w:rsid w:val="00513745"/>
    <w:rsid w:val="005145E9"/>
    <w:rsid w:val="00514CCD"/>
    <w:rsid w:val="00515BFE"/>
    <w:rsid w:val="00520A40"/>
    <w:rsid w:val="00520CEC"/>
    <w:rsid w:val="00522AF9"/>
    <w:rsid w:val="00523536"/>
    <w:rsid w:val="00523979"/>
    <w:rsid w:val="0052419B"/>
    <w:rsid w:val="005249E3"/>
    <w:rsid w:val="00524D53"/>
    <w:rsid w:val="0052672A"/>
    <w:rsid w:val="00527191"/>
    <w:rsid w:val="00527B44"/>
    <w:rsid w:val="005301F9"/>
    <w:rsid w:val="0053043E"/>
    <w:rsid w:val="00530864"/>
    <w:rsid w:val="00533B39"/>
    <w:rsid w:val="00533CBD"/>
    <w:rsid w:val="00534CD8"/>
    <w:rsid w:val="005358C5"/>
    <w:rsid w:val="00535B5C"/>
    <w:rsid w:val="0053678C"/>
    <w:rsid w:val="005368AF"/>
    <w:rsid w:val="00536B15"/>
    <w:rsid w:val="0053766B"/>
    <w:rsid w:val="00540D65"/>
    <w:rsid w:val="00541460"/>
    <w:rsid w:val="00541AE1"/>
    <w:rsid w:val="00542327"/>
    <w:rsid w:val="00542711"/>
    <w:rsid w:val="00542ED9"/>
    <w:rsid w:val="00545605"/>
    <w:rsid w:val="00545C74"/>
    <w:rsid w:val="00546B95"/>
    <w:rsid w:val="005504DC"/>
    <w:rsid w:val="0055082F"/>
    <w:rsid w:val="00550DED"/>
    <w:rsid w:val="00550ED3"/>
    <w:rsid w:val="005510DE"/>
    <w:rsid w:val="0055205F"/>
    <w:rsid w:val="00554863"/>
    <w:rsid w:val="00555568"/>
    <w:rsid w:val="00555C92"/>
    <w:rsid w:val="0055621A"/>
    <w:rsid w:val="00557747"/>
    <w:rsid w:val="00557CE4"/>
    <w:rsid w:val="0056036C"/>
    <w:rsid w:val="0056253B"/>
    <w:rsid w:val="00562ABB"/>
    <w:rsid w:val="005645EF"/>
    <w:rsid w:val="005701F0"/>
    <w:rsid w:val="005709C5"/>
    <w:rsid w:val="00570C68"/>
    <w:rsid w:val="00570DA2"/>
    <w:rsid w:val="0057301B"/>
    <w:rsid w:val="00573912"/>
    <w:rsid w:val="00574C3D"/>
    <w:rsid w:val="00575CEF"/>
    <w:rsid w:val="00576496"/>
    <w:rsid w:val="005765F9"/>
    <w:rsid w:val="00576C2C"/>
    <w:rsid w:val="005775A4"/>
    <w:rsid w:val="00577CEA"/>
    <w:rsid w:val="00577D5E"/>
    <w:rsid w:val="005805FF"/>
    <w:rsid w:val="00580FD8"/>
    <w:rsid w:val="0058134B"/>
    <w:rsid w:val="00581547"/>
    <w:rsid w:val="00582616"/>
    <w:rsid w:val="00582E7D"/>
    <w:rsid w:val="00583305"/>
    <w:rsid w:val="00585A1E"/>
    <w:rsid w:val="00585AB1"/>
    <w:rsid w:val="00586681"/>
    <w:rsid w:val="0058762F"/>
    <w:rsid w:val="0058789E"/>
    <w:rsid w:val="00590938"/>
    <w:rsid w:val="00590AC3"/>
    <w:rsid w:val="00592328"/>
    <w:rsid w:val="005925E1"/>
    <w:rsid w:val="00593C8A"/>
    <w:rsid w:val="00594062"/>
    <w:rsid w:val="00595062"/>
    <w:rsid w:val="005959B1"/>
    <w:rsid w:val="0059755E"/>
    <w:rsid w:val="00597AF6"/>
    <w:rsid w:val="00597DD8"/>
    <w:rsid w:val="005A0862"/>
    <w:rsid w:val="005A0C45"/>
    <w:rsid w:val="005A155B"/>
    <w:rsid w:val="005A262E"/>
    <w:rsid w:val="005A6FB3"/>
    <w:rsid w:val="005A7FA4"/>
    <w:rsid w:val="005B06AE"/>
    <w:rsid w:val="005B0710"/>
    <w:rsid w:val="005B0941"/>
    <w:rsid w:val="005B0966"/>
    <w:rsid w:val="005B1898"/>
    <w:rsid w:val="005B1B42"/>
    <w:rsid w:val="005B316E"/>
    <w:rsid w:val="005B35E7"/>
    <w:rsid w:val="005B41A3"/>
    <w:rsid w:val="005B46DE"/>
    <w:rsid w:val="005B5CBE"/>
    <w:rsid w:val="005B6300"/>
    <w:rsid w:val="005B69DE"/>
    <w:rsid w:val="005B6E48"/>
    <w:rsid w:val="005B7396"/>
    <w:rsid w:val="005C071D"/>
    <w:rsid w:val="005C1124"/>
    <w:rsid w:val="005C2B56"/>
    <w:rsid w:val="005C45A2"/>
    <w:rsid w:val="005C461B"/>
    <w:rsid w:val="005C53EB"/>
    <w:rsid w:val="005C66A5"/>
    <w:rsid w:val="005C6A7B"/>
    <w:rsid w:val="005C6AB7"/>
    <w:rsid w:val="005C7613"/>
    <w:rsid w:val="005C77D6"/>
    <w:rsid w:val="005C79E0"/>
    <w:rsid w:val="005C7FB1"/>
    <w:rsid w:val="005D067A"/>
    <w:rsid w:val="005D2071"/>
    <w:rsid w:val="005D28AA"/>
    <w:rsid w:val="005D3A25"/>
    <w:rsid w:val="005D43E0"/>
    <w:rsid w:val="005D4773"/>
    <w:rsid w:val="005D5225"/>
    <w:rsid w:val="005D5634"/>
    <w:rsid w:val="005D58D9"/>
    <w:rsid w:val="005D5D73"/>
    <w:rsid w:val="005D67C2"/>
    <w:rsid w:val="005D682B"/>
    <w:rsid w:val="005D6ABB"/>
    <w:rsid w:val="005D748A"/>
    <w:rsid w:val="005D76A4"/>
    <w:rsid w:val="005E136D"/>
    <w:rsid w:val="005E1C1F"/>
    <w:rsid w:val="005E2CEE"/>
    <w:rsid w:val="005E3143"/>
    <w:rsid w:val="005E4223"/>
    <w:rsid w:val="005E447C"/>
    <w:rsid w:val="005E5CDC"/>
    <w:rsid w:val="005E689B"/>
    <w:rsid w:val="005E7792"/>
    <w:rsid w:val="005E7FBA"/>
    <w:rsid w:val="005F01B2"/>
    <w:rsid w:val="005F0483"/>
    <w:rsid w:val="005F04C4"/>
    <w:rsid w:val="005F0EBF"/>
    <w:rsid w:val="005F2CB5"/>
    <w:rsid w:val="005F37F5"/>
    <w:rsid w:val="005F3919"/>
    <w:rsid w:val="005F3A39"/>
    <w:rsid w:val="005F495C"/>
    <w:rsid w:val="005F50DD"/>
    <w:rsid w:val="005F516D"/>
    <w:rsid w:val="005F552D"/>
    <w:rsid w:val="005F5707"/>
    <w:rsid w:val="005F60E7"/>
    <w:rsid w:val="006000F5"/>
    <w:rsid w:val="0060065D"/>
    <w:rsid w:val="00600F40"/>
    <w:rsid w:val="0060152E"/>
    <w:rsid w:val="006022C9"/>
    <w:rsid w:val="00604385"/>
    <w:rsid w:val="006047C8"/>
    <w:rsid w:val="00604EB2"/>
    <w:rsid w:val="0060523E"/>
    <w:rsid w:val="00610354"/>
    <w:rsid w:val="00611ECA"/>
    <w:rsid w:val="00615847"/>
    <w:rsid w:val="00615E10"/>
    <w:rsid w:val="006164A8"/>
    <w:rsid w:val="0061693D"/>
    <w:rsid w:val="006170EC"/>
    <w:rsid w:val="0061757A"/>
    <w:rsid w:val="00620073"/>
    <w:rsid w:val="00621C4D"/>
    <w:rsid w:val="0062343F"/>
    <w:rsid w:val="006258C8"/>
    <w:rsid w:val="00626257"/>
    <w:rsid w:val="00626C2C"/>
    <w:rsid w:val="0062728B"/>
    <w:rsid w:val="006278D9"/>
    <w:rsid w:val="00627B88"/>
    <w:rsid w:val="00630296"/>
    <w:rsid w:val="00631461"/>
    <w:rsid w:val="00631637"/>
    <w:rsid w:val="00631809"/>
    <w:rsid w:val="00633594"/>
    <w:rsid w:val="006339BE"/>
    <w:rsid w:val="00634368"/>
    <w:rsid w:val="00634799"/>
    <w:rsid w:val="0063694D"/>
    <w:rsid w:val="00636BBC"/>
    <w:rsid w:val="00636C70"/>
    <w:rsid w:val="00640987"/>
    <w:rsid w:val="00640DA5"/>
    <w:rsid w:val="0064173A"/>
    <w:rsid w:val="00641A0C"/>
    <w:rsid w:val="00642831"/>
    <w:rsid w:val="00643544"/>
    <w:rsid w:val="00643F05"/>
    <w:rsid w:val="00645117"/>
    <w:rsid w:val="00645C98"/>
    <w:rsid w:val="00646652"/>
    <w:rsid w:val="0064669D"/>
    <w:rsid w:val="00646AE1"/>
    <w:rsid w:val="00646D54"/>
    <w:rsid w:val="00647A67"/>
    <w:rsid w:val="00647B3A"/>
    <w:rsid w:val="0065026E"/>
    <w:rsid w:val="00650D32"/>
    <w:rsid w:val="00651119"/>
    <w:rsid w:val="00651235"/>
    <w:rsid w:val="00651315"/>
    <w:rsid w:val="006518E6"/>
    <w:rsid w:val="00652793"/>
    <w:rsid w:val="00652B75"/>
    <w:rsid w:val="00653152"/>
    <w:rsid w:val="006532CB"/>
    <w:rsid w:val="006533F8"/>
    <w:rsid w:val="00653859"/>
    <w:rsid w:val="006538EE"/>
    <w:rsid w:val="00653EEC"/>
    <w:rsid w:val="00656ADF"/>
    <w:rsid w:val="00656F2D"/>
    <w:rsid w:val="0065752D"/>
    <w:rsid w:val="00657CFF"/>
    <w:rsid w:val="00661000"/>
    <w:rsid w:val="0066153C"/>
    <w:rsid w:val="0066160B"/>
    <w:rsid w:val="0066167C"/>
    <w:rsid w:val="006619BD"/>
    <w:rsid w:val="006619F0"/>
    <w:rsid w:val="00661C36"/>
    <w:rsid w:val="0066271C"/>
    <w:rsid w:val="00662866"/>
    <w:rsid w:val="00662B5D"/>
    <w:rsid w:val="00662C28"/>
    <w:rsid w:val="00662E3F"/>
    <w:rsid w:val="00664B4A"/>
    <w:rsid w:val="00665B58"/>
    <w:rsid w:val="006661C8"/>
    <w:rsid w:val="0066749D"/>
    <w:rsid w:val="006674C9"/>
    <w:rsid w:val="00670652"/>
    <w:rsid w:val="00672935"/>
    <w:rsid w:val="00672A7E"/>
    <w:rsid w:val="00672D8E"/>
    <w:rsid w:val="00672E5E"/>
    <w:rsid w:val="00675463"/>
    <w:rsid w:val="00675EE4"/>
    <w:rsid w:val="0067654F"/>
    <w:rsid w:val="006765A0"/>
    <w:rsid w:val="006766C4"/>
    <w:rsid w:val="00677C72"/>
    <w:rsid w:val="00677D7B"/>
    <w:rsid w:val="00680A14"/>
    <w:rsid w:val="0068115B"/>
    <w:rsid w:val="00681290"/>
    <w:rsid w:val="00684327"/>
    <w:rsid w:val="00685A0C"/>
    <w:rsid w:val="006866F0"/>
    <w:rsid w:val="00687017"/>
    <w:rsid w:val="00691A8D"/>
    <w:rsid w:val="006926E5"/>
    <w:rsid w:val="0069386D"/>
    <w:rsid w:val="00693891"/>
    <w:rsid w:val="00696157"/>
    <w:rsid w:val="006A157A"/>
    <w:rsid w:val="006A177A"/>
    <w:rsid w:val="006A34C2"/>
    <w:rsid w:val="006A3802"/>
    <w:rsid w:val="006A3C8E"/>
    <w:rsid w:val="006A3D35"/>
    <w:rsid w:val="006A427C"/>
    <w:rsid w:val="006A59E2"/>
    <w:rsid w:val="006A6629"/>
    <w:rsid w:val="006A6B0B"/>
    <w:rsid w:val="006A6DAA"/>
    <w:rsid w:val="006A6DC5"/>
    <w:rsid w:val="006A7BCF"/>
    <w:rsid w:val="006A7DFB"/>
    <w:rsid w:val="006A7E56"/>
    <w:rsid w:val="006B25D4"/>
    <w:rsid w:val="006B26FF"/>
    <w:rsid w:val="006B2960"/>
    <w:rsid w:val="006B33E3"/>
    <w:rsid w:val="006B3A76"/>
    <w:rsid w:val="006B3D58"/>
    <w:rsid w:val="006B60D7"/>
    <w:rsid w:val="006C013D"/>
    <w:rsid w:val="006C0B7D"/>
    <w:rsid w:val="006C1433"/>
    <w:rsid w:val="006C26F1"/>
    <w:rsid w:val="006C2C85"/>
    <w:rsid w:val="006C2CAB"/>
    <w:rsid w:val="006C3558"/>
    <w:rsid w:val="006C37CA"/>
    <w:rsid w:val="006C4C37"/>
    <w:rsid w:val="006C5754"/>
    <w:rsid w:val="006C64A2"/>
    <w:rsid w:val="006C6509"/>
    <w:rsid w:val="006C713F"/>
    <w:rsid w:val="006C7FF4"/>
    <w:rsid w:val="006D02CA"/>
    <w:rsid w:val="006D18B1"/>
    <w:rsid w:val="006D1922"/>
    <w:rsid w:val="006D1F15"/>
    <w:rsid w:val="006D3288"/>
    <w:rsid w:val="006D5797"/>
    <w:rsid w:val="006E1068"/>
    <w:rsid w:val="006E4135"/>
    <w:rsid w:val="006E4C20"/>
    <w:rsid w:val="006E5749"/>
    <w:rsid w:val="006E608E"/>
    <w:rsid w:val="006E64B9"/>
    <w:rsid w:val="006E6522"/>
    <w:rsid w:val="006E6645"/>
    <w:rsid w:val="006E757F"/>
    <w:rsid w:val="006F02D6"/>
    <w:rsid w:val="006F1535"/>
    <w:rsid w:val="006F1E25"/>
    <w:rsid w:val="006F2A90"/>
    <w:rsid w:val="006F2ED9"/>
    <w:rsid w:val="006F2EF7"/>
    <w:rsid w:val="006F3A3D"/>
    <w:rsid w:val="006F485B"/>
    <w:rsid w:val="00700399"/>
    <w:rsid w:val="007006F9"/>
    <w:rsid w:val="007007E3"/>
    <w:rsid w:val="007010D2"/>
    <w:rsid w:val="00701D46"/>
    <w:rsid w:val="00702676"/>
    <w:rsid w:val="00703494"/>
    <w:rsid w:val="007034C2"/>
    <w:rsid w:val="00703C8B"/>
    <w:rsid w:val="00703E5B"/>
    <w:rsid w:val="00704412"/>
    <w:rsid w:val="00705432"/>
    <w:rsid w:val="0070718A"/>
    <w:rsid w:val="00707FA8"/>
    <w:rsid w:val="00710A22"/>
    <w:rsid w:val="007129C8"/>
    <w:rsid w:val="00712D25"/>
    <w:rsid w:val="0071327F"/>
    <w:rsid w:val="0071366D"/>
    <w:rsid w:val="00714BB9"/>
    <w:rsid w:val="0071506B"/>
    <w:rsid w:val="007152D9"/>
    <w:rsid w:val="00715799"/>
    <w:rsid w:val="00716202"/>
    <w:rsid w:val="00716B69"/>
    <w:rsid w:val="00720C4A"/>
    <w:rsid w:val="007228C4"/>
    <w:rsid w:val="007242B3"/>
    <w:rsid w:val="00725ADF"/>
    <w:rsid w:val="00727E22"/>
    <w:rsid w:val="00730A2C"/>
    <w:rsid w:val="00730C2B"/>
    <w:rsid w:val="00730D16"/>
    <w:rsid w:val="007314D4"/>
    <w:rsid w:val="00731F48"/>
    <w:rsid w:val="007336DE"/>
    <w:rsid w:val="00734B71"/>
    <w:rsid w:val="00735EA5"/>
    <w:rsid w:val="007368DC"/>
    <w:rsid w:val="00736DB4"/>
    <w:rsid w:val="0074152A"/>
    <w:rsid w:val="00741917"/>
    <w:rsid w:val="00743422"/>
    <w:rsid w:val="00743C36"/>
    <w:rsid w:val="007440AC"/>
    <w:rsid w:val="00746C97"/>
    <w:rsid w:val="00747015"/>
    <w:rsid w:val="00747266"/>
    <w:rsid w:val="007478B3"/>
    <w:rsid w:val="00750614"/>
    <w:rsid w:val="00750CB7"/>
    <w:rsid w:val="00750D10"/>
    <w:rsid w:val="00751396"/>
    <w:rsid w:val="00751A1B"/>
    <w:rsid w:val="00751D12"/>
    <w:rsid w:val="00752C99"/>
    <w:rsid w:val="00753035"/>
    <w:rsid w:val="007545CB"/>
    <w:rsid w:val="007555CD"/>
    <w:rsid w:val="007563D4"/>
    <w:rsid w:val="0075678E"/>
    <w:rsid w:val="00757708"/>
    <w:rsid w:val="0075779A"/>
    <w:rsid w:val="00760716"/>
    <w:rsid w:val="00761506"/>
    <w:rsid w:val="00761A9A"/>
    <w:rsid w:val="00761ADD"/>
    <w:rsid w:val="00761C1C"/>
    <w:rsid w:val="00762244"/>
    <w:rsid w:val="00762819"/>
    <w:rsid w:val="00762BD6"/>
    <w:rsid w:val="00764821"/>
    <w:rsid w:val="00764A1C"/>
    <w:rsid w:val="00764BBF"/>
    <w:rsid w:val="007679AB"/>
    <w:rsid w:val="00770999"/>
    <w:rsid w:val="00771C9A"/>
    <w:rsid w:val="00773A3C"/>
    <w:rsid w:val="00775300"/>
    <w:rsid w:val="00775508"/>
    <w:rsid w:val="007756A6"/>
    <w:rsid w:val="007759A2"/>
    <w:rsid w:val="00776404"/>
    <w:rsid w:val="00777ADE"/>
    <w:rsid w:val="007800A5"/>
    <w:rsid w:val="00780D18"/>
    <w:rsid w:val="00781CD4"/>
    <w:rsid w:val="00782F08"/>
    <w:rsid w:val="007833AE"/>
    <w:rsid w:val="00783901"/>
    <w:rsid w:val="007839E0"/>
    <w:rsid w:val="00784A84"/>
    <w:rsid w:val="0078548C"/>
    <w:rsid w:val="00785D47"/>
    <w:rsid w:val="00786D70"/>
    <w:rsid w:val="00787274"/>
    <w:rsid w:val="00787394"/>
    <w:rsid w:val="00790110"/>
    <w:rsid w:val="0079147A"/>
    <w:rsid w:val="00791D11"/>
    <w:rsid w:val="00792434"/>
    <w:rsid w:val="00792A5D"/>
    <w:rsid w:val="00792D74"/>
    <w:rsid w:val="007944F2"/>
    <w:rsid w:val="007957C7"/>
    <w:rsid w:val="00795D8D"/>
    <w:rsid w:val="00797714"/>
    <w:rsid w:val="007A17C9"/>
    <w:rsid w:val="007A2696"/>
    <w:rsid w:val="007A3562"/>
    <w:rsid w:val="007A517A"/>
    <w:rsid w:val="007A59B0"/>
    <w:rsid w:val="007A753F"/>
    <w:rsid w:val="007B0079"/>
    <w:rsid w:val="007B293E"/>
    <w:rsid w:val="007B34D2"/>
    <w:rsid w:val="007B3B48"/>
    <w:rsid w:val="007B6DF1"/>
    <w:rsid w:val="007B6E0F"/>
    <w:rsid w:val="007B7789"/>
    <w:rsid w:val="007B787F"/>
    <w:rsid w:val="007C0576"/>
    <w:rsid w:val="007C1312"/>
    <w:rsid w:val="007C1D30"/>
    <w:rsid w:val="007C22C5"/>
    <w:rsid w:val="007C26E5"/>
    <w:rsid w:val="007C3BAB"/>
    <w:rsid w:val="007C3BE6"/>
    <w:rsid w:val="007C576C"/>
    <w:rsid w:val="007D3D67"/>
    <w:rsid w:val="007D4114"/>
    <w:rsid w:val="007D591E"/>
    <w:rsid w:val="007D621A"/>
    <w:rsid w:val="007D72C7"/>
    <w:rsid w:val="007D7A00"/>
    <w:rsid w:val="007D7A10"/>
    <w:rsid w:val="007E1DBB"/>
    <w:rsid w:val="007E439D"/>
    <w:rsid w:val="007E5DA0"/>
    <w:rsid w:val="007F0B3E"/>
    <w:rsid w:val="007F0D71"/>
    <w:rsid w:val="007F57DE"/>
    <w:rsid w:val="007F62E5"/>
    <w:rsid w:val="007F79CB"/>
    <w:rsid w:val="008003F8"/>
    <w:rsid w:val="008006BE"/>
    <w:rsid w:val="008024AE"/>
    <w:rsid w:val="008029D7"/>
    <w:rsid w:val="00805736"/>
    <w:rsid w:val="0080648A"/>
    <w:rsid w:val="00807225"/>
    <w:rsid w:val="00807FDC"/>
    <w:rsid w:val="008123B2"/>
    <w:rsid w:val="00812CB4"/>
    <w:rsid w:val="00813B0C"/>
    <w:rsid w:val="008140A2"/>
    <w:rsid w:val="008140B5"/>
    <w:rsid w:val="00815AEA"/>
    <w:rsid w:val="0081647F"/>
    <w:rsid w:val="00816566"/>
    <w:rsid w:val="00816885"/>
    <w:rsid w:val="00817A68"/>
    <w:rsid w:val="00820101"/>
    <w:rsid w:val="0082188D"/>
    <w:rsid w:val="00822C2C"/>
    <w:rsid w:val="0082563D"/>
    <w:rsid w:val="008278BD"/>
    <w:rsid w:val="00827E74"/>
    <w:rsid w:val="008304F9"/>
    <w:rsid w:val="00831CDA"/>
    <w:rsid w:val="00832513"/>
    <w:rsid w:val="008325BC"/>
    <w:rsid w:val="008329DC"/>
    <w:rsid w:val="008329E4"/>
    <w:rsid w:val="0083353E"/>
    <w:rsid w:val="00834249"/>
    <w:rsid w:val="008343EC"/>
    <w:rsid w:val="008347AE"/>
    <w:rsid w:val="0083488D"/>
    <w:rsid w:val="00834CE4"/>
    <w:rsid w:val="0084077E"/>
    <w:rsid w:val="00841338"/>
    <w:rsid w:val="0084261C"/>
    <w:rsid w:val="00842E40"/>
    <w:rsid w:val="00842F79"/>
    <w:rsid w:val="008430F2"/>
    <w:rsid w:val="00844279"/>
    <w:rsid w:val="00846A04"/>
    <w:rsid w:val="00847A79"/>
    <w:rsid w:val="00851486"/>
    <w:rsid w:val="00851D0C"/>
    <w:rsid w:val="00854425"/>
    <w:rsid w:val="00854E38"/>
    <w:rsid w:val="00854F26"/>
    <w:rsid w:val="008556B7"/>
    <w:rsid w:val="00855FB2"/>
    <w:rsid w:val="00856AB2"/>
    <w:rsid w:val="00856BFA"/>
    <w:rsid w:val="00857128"/>
    <w:rsid w:val="00857337"/>
    <w:rsid w:val="00861180"/>
    <w:rsid w:val="00862242"/>
    <w:rsid w:val="00862D4C"/>
    <w:rsid w:val="00863EAA"/>
    <w:rsid w:val="0086702D"/>
    <w:rsid w:val="00867031"/>
    <w:rsid w:val="008674B1"/>
    <w:rsid w:val="00867B61"/>
    <w:rsid w:val="00867FCC"/>
    <w:rsid w:val="008718B8"/>
    <w:rsid w:val="00871C5B"/>
    <w:rsid w:val="0087385B"/>
    <w:rsid w:val="0087512E"/>
    <w:rsid w:val="00876EDE"/>
    <w:rsid w:val="00877548"/>
    <w:rsid w:val="00881468"/>
    <w:rsid w:val="00881AE3"/>
    <w:rsid w:val="00887571"/>
    <w:rsid w:val="008879DE"/>
    <w:rsid w:val="00890FA4"/>
    <w:rsid w:val="00892167"/>
    <w:rsid w:val="008941DE"/>
    <w:rsid w:val="008942E6"/>
    <w:rsid w:val="008963C5"/>
    <w:rsid w:val="008969FC"/>
    <w:rsid w:val="00896F13"/>
    <w:rsid w:val="008A193C"/>
    <w:rsid w:val="008A38B6"/>
    <w:rsid w:val="008A3B72"/>
    <w:rsid w:val="008A5657"/>
    <w:rsid w:val="008A5BAF"/>
    <w:rsid w:val="008A769C"/>
    <w:rsid w:val="008A77F3"/>
    <w:rsid w:val="008B1F06"/>
    <w:rsid w:val="008B2B21"/>
    <w:rsid w:val="008B2D9B"/>
    <w:rsid w:val="008B3EC4"/>
    <w:rsid w:val="008B4D14"/>
    <w:rsid w:val="008B55A3"/>
    <w:rsid w:val="008B6879"/>
    <w:rsid w:val="008B707C"/>
    <w:rsid w:val="008B7269"/>
    <w:rsid w:val="008B776F"/>
    <w:rsid w:val="008B7B7E"/>
    <w:rsid w:val="008B7D53"/>
    <w:rsid w:val="008C0EE5"/>
    <w:rsid w:val="008C1D41"/>
    <w:rsid w:val="008C2D83"/>
    <w:rsid w:val="008C4493"/>
    <w:rsid w:val="008C5E76"/>
    <w:rsid w:val="008C5EF9"/>
    <w:rsid w:val="008C68D8"/>
    <w:rsid w:val="008D1D23"/>
    <w:rsid w:val="008D1DD9"/>
    <w:rsid w:val="008D2678"/>
    <w:rsid w:val="008D2EF8"/>
    <w:rsid w:val="008D3ECD"/>
    <w:rsid w:val="008D4081"/>
    <w:rsid w:val="008D40E9"/>
    <w:rsid w:val="008D584E"/>
    <w:rsid w:val="008D7229"/>
    <w:rsid w:val="008D7806"/>
    <w:rsid w:val="008D7BC3"/>
    <w:rsid w:val="008D7CCE"/>
    <w:rsid w:val="008E012A"/>
    <w:rsid w:val="008E0702"/>
    <w:rsid w:val="008E1C30"/>
    <w:rsid w:val="008E1CAF"/>
    <w:rsid w:val="008E26A3"/>
    <w:rsid w:val="008E3E0E"/>
    <w:rsid w:val="008E65C0"/>
    <w:rsid w:val="008F1307"/>
    <w:rsid w:val="008F1813"/>
    <w:rsid w:val="008F25CC"/>
    <w:rsid w:val="008F33CB"/>
    <w:rsid w:val="008F4976"/>
    <w:rsid w:val="008F6C48"/>
    <w:rsid w:val="008F708E"/>
    <w:rsid w:val="00900BF4"/>
    <w:rsid w:val="00900D92"/>
    <w:rsid w:val="0090138B"/>
    <w:rsid w:val="009020FF"/>
    <w:rsid w:val="00902816"/>
    <w:rsid w:val="009038E1"/>
    <w:rsid w:val="00906DA0"/>
    <w:rsid w:val="009070AB"/>
    <w:rsid w:val="00907175"/>
    <w:rsid w:val="0090767B"/>
    <w:rsid w:val="00910E1A"/>
    <w:rsid w:val="00910EFD"/>
    <w:rsid w:val="0091103D"/>
    <w:rsid w:val="009115E2"/>
    <w:rsid w:val="00912AD5"/>
    <w:rsid w:val="009160FF"/>
    <w:rsid w:val="00916357"/>
    <w:rsid w:val="00916AAF"/>
    <w:rsid w:val="00916D6A"/>
    <w:rsid w:val="00916F73"/>
    <w:rsid w:val="00917C90"/>
    <w:rsid w:val="00917D0B"/>
    <w:rsid w:val="0092283F"/>
    <w:rsid w:val="00923790"/>
    <w:rsid w:val="00924CA1"/>
    <w:rsid w:val="00925077"/>
    <w:rsid w:val="00925665"/>
    <w:rsid w:val="00927051"/>
    <w:rsid w:val="009307B9"/>
    <w:rsid w:val="00930FB2"/>
    <w:rsid w:val="00931644"/>
    <w:rsid w:val="00932592"/>
    <w:rsid w:val="0093293B"/>
    <w:rsid w:val="00932CBC"/>
    <w:rsid w:val="00933ECF"/>
    <w:rsid w:val="009342B0"/>
    <w:rsid w:val="0093496D"/>
    <w:rsid w:val="009349B6"/>
    <w:rsid w:val="009349CC"/>
    <w:rsid w:val="00935A33"/>
    <w:rsid w:val="00936502"/>
    <w:rsid w:val="0093668C"/>
    <w:rsid w:val="009367D6"/>
    <w:rsid w:val="00940346"/>
    <w:rsid w:val="009403D8"/>
    <w:rsid w:val="00940A43"/>
    <w:rsid w:val="00941A52"/>
    <w:rsid w:val="0094240A"/>
    <w:rsid w:val="009429FA"/>
    <w:rsid w:val="009448EC"/>
    <w:rsid w:val="00944B77"/>
    <w:rsid w:val="009454EE"/>
    <w:rsid w:val="009475F5"/>
    <w:rsid w:val="00950F6F"/>
    <w:rsid w:val="00952E73"/>
    <w:rsid w:val="00955987"/>
    <w:rsid w:val="00957325"/>
    <w:rsid w:val="00957E62"/>
    <w:rsid w:val="00961036"/>
    <w:rsid w:val="00961E70"/>
    <w:rsid w:val="00963439"/>
    <w:rsid w:val="009645E4"/>
    <w:rsid w:val="00964E32"/>
    <w:rsid w:val="00964E45"/>
    <w:rsid w:val="00965D21"/>
    <w:rsid w:val="009660E2"/>
    <w:rsid w:val="009675DA"/>
    <w:rsid w:val="00970901"/>
    <w:rsid w:val="00973EC3"/>
    <w:rsid w:val="00973FBB"/>
    <w:rsid w:val="009740A1"/>
    <w:rsid w:val="009742CE"/>
    <w:rsid w:val="00974639"/>
    <w:rsid w:val="00974AB6"/>
    <w:rsid w:val="00974D58"/>
    <w:rsid w:val="009772F1"/>
    <w:rsid w:val="0097769A"/>
    <w:rsid w:val="0097773C"/>
    <w:rsid w:val="00980583"/>
    <w:rsid w:val="0098249E"/>
    <w:rsid w:val="009829DA"/>
    <w:rsid w:val="00982A81"/>
    <w:rsid w:val="00982B55"/>
    <w:rsid w:val="009835F7"/>
    <w:rsid w:val="00983E67"/>
    <w:rsid w:val="00984278"/>
    <w:rsid w:val="009845A6"/>
    <w:rsid w:val="00984F7D"/>
    <w:rsid w:val="009863BA"/>
    <w:rsid w:val="00986A5E"/>
    <w:rsid w:val="009908B6"/>
    <w:rsid w:val="00991298"/>
    <w:rsid w:val="00991674"/>
    <w:rsid w:val="009949BC"/>
    <w:rsid w:val="00994B15"/>
    <w:rsid w:val="00994BF0"/>
    <w:rsid w:val="00995034"/>
    <w:rsid w:val="0099504A"/>
    <w:rsid w:val="009A0348"/>
    <w:rsid w:val="009A0812"/>
    <w:rsid w:val="009A0D60"/>
    <w:rsid w:val="009A0E84"/>
    <w:rsid w:val="009A29B3"/>
    <w:rsid w:val="009A3219"/>
    <w:rsid w:val="009A3871"/>
    <w:rsid w:val="009A3F02"/>
    <w:rsid w:val="009A45EA"/>
    <w:rsid w:val="009A5875"/>
    <w:rsid w:val="009A7402"/>
    <w:rsid w:val="009A7599"/>
    <w:rsid w:val="009A788E"/>
    <w:rsid w:val="009B0224"/>
    <w:rsid w:val="009B046B"/>
    <w:rsid w:val="009B0E45"/>
    <w:rsid w:val="009B1E8F"/>
    <w:rsid w:val="009B2705"/>
    <w:rsid w:val="009B40D9"/>
    <w:rsid w:val="009B5652"/>
    <w:rsid w:val="009B5EFC"/>
    <w:rsid w:val="009B5FD1"/>
    <w:rsid w:val="009B6BE5"/>
    <w:rsid w:val="009B6E72"/>
    <w:rsid w:val="009B7D98"/>
    <w:rsid w:val="009C14C6"/>
    <w:rsid w:val="009C266B"/>
    <w:rsid w:val="009C3A6B"/>
    <w:rsid w:val="009C478F"/>
    <w:rsid w:val="009C5117"/>
    <w:rsid w:val="009C62FA"/>
    <w:rsid w:val="009C744F"/>
    <w:rsid w:val="009D12E3"/>
    <w:rsid w:val="009D1664"/>
    <w:rsid w:val="009D2FF2"/>
    <w:rsid w:val="009D3887"/>
    <w:rsid w:val="009D64C4"/>
    <w:rsid w:val="009E1653"/>
    <w:rsid w:val="009E1ADB"/>
    <w:rsid w:val="009E335F"/>
    <w:rsid w:val="009E43F2"/>
    <w:rsid w:val="009E5EA9"/>
    <w:rsid w:val="009E6166"/>
    <w:rsid w:val="009F10EE"/>
    <w:rsid w:val="009F1AC6"/>
    <w:rsid w:val="009F26C1"/>
    <w:rsid w:val="009F3EE6"/>
    <w:rsid w:val="009F559E"/>
    <w:rsid w:val="009F56FB"/>
    <w:rsid w:val="009F5AED"/>
    <w:rsid w:val="009F76D4"/>
    <w:rsid w:val="009F76F8"/>
    <w:rsid w:val="00A00A54"/>
    <w:rsid w:val="00A00B60"/>
    <w:rsid w:val="00A02503"/>
    <w:rsid w:val="00A03110"/>
    <w:rsid w:val="00A034BA"/>
    <w:rsid w:val="00A059C6"/>
    <w:rsid w:val="00A05C5B"/>
    <w:rsid w:val="00A071B3"/>
    <w:rsid w:val="00A07B83"/>
    <w:rsid w:val="00A12193"/>
    <w:rsid w:val="00A13D9D"/>
    <w:rsid w:val="00A14E72"/>
    <w:rsid w:val="00A15416"/>
    <w:rsid w:val="00A1558A"/>
    <w:rsid w:val="00A16CD9"/>
    <w:rsid w:val="00A1749E"/>
    <w:rsid w:val="00A201C3"/>
    <w:rsid w:val="00A203F4"/>
    <w:rsid w:val="00A20BA8"/>
    <w:rsid w:val="00A212B1"/>
    <w:rsid w:val="00A21EC1"/>
    <w:rsid w:val="00A22361"/>
    <w:rsid w:val="00A22423"/>
    <w:rsid w:val="00A235BF"/>
    <w:rsid w:val="00A235F9"/>
    <w:rsid w:val="00A255B8"/>
    <w:rsid w:val="00A27446"/>
    <w:rsid w:val="00A3105C"/>
    <w:rsid w:val="00A3196B"/>
    <w:rsid w:val="00A31D0C"/>
    <w:rsid w:val="00A32115"/>
    <w:rsid w:val="00A32C95"/>
    <w:rsid w:val="00A35EA9"/>
    <w:rsid w:val="00A3694D"/>
    <w:rsid w:val="00A3731B"/>
    <w:rsid w:val="00A417B4"/>
    <w:rsid w:val="00A42833"/>
    <w:rsid w:val="00A43A3D"/>
    <w:rsid w:val="00A44719"/>
    <w:rsid w:val="00A45685"/>
    <w:rsid w:val="00A50685"/>
    <w:rsid w:val="00A50E60"/>
    <w:rsid w:val="00A512E7"/>
    <w:rsid w:val="00A513FC"/>
    <w:rsid w:val="00A516F7"/>
    <w:rsid w:val="00A51FF1"/>
    <w:rsid w:val="00A538F8"/>
    <w:rsid w:val="00A54AF0"/>
    <w:rsid w:val="00A5563B"/>
    <w:rsid w:val="00A56521"/>
    <w:rsid w:val="00A57D1B"/>
    <w:rsid w:val="00A62065"/>
    <w:rsid w:val="00A632CF"/>
    <w:rsid w:val="00A63A5A"/>
    <w:rsid w:val="00A6507B"/>
    <w:rsid w:val="00A651C1"/>
    <w:rsid w:val="00A653C6"/>
    <w:rsid w:val="00A66E08"/>
    <w:rsid w:val="00A66F8A"/>
    <w:rsid w:val="00A67069"/>
    <w:rsid w:val="00A67204"/>
    <w:rsid w:val="00A67743"/>
    <w:rsid w:val="00A700FA"/>
    <w:rsid w:val="00A709E6"/>
    <w:rsid w:val="00A70D5E"/>
    <w:rsid w:val="00A71058"/>
    <w:rsid w:val="00A71FBF"/>
    <w:rsid w:val="00A726E7"/>
    <w:rsid w:val="00A72A68"/>
    <w:rsid w:val="00A748A7"/>
    <w:rsid w:val="00A8035A"/>
    <w:rsid w:val="00A8051B"/>
    <w:rsid w:val="00A80628"/>
    <w:rsid w:val="00A80D55"/>
    <w:rsid w:val="00A80E30"/>
    <w:rsid w:val="00A81CB3"/>
    <w:rsid w:val="00A8291E"/>
    <w:rsid w:val="00A82957"/>
    <w:rsid w:val="00A82BA7"/>
    <w:rsid w:val="00A83AF2"/>
    <w:rsid w:val="00A8430B"/>
    <w:rsid w:val="00A84417"/>
    <w:rsid w:val="00A87440"/>
    <w:rsid w:val="00A90635"/>
    <w:rsid w:val="00A90EFA"/>
    <w:rsid w:val="00A90F24"/>
    <w:rsid w:val="00A92911"/>
    <w:rsid w:val="00A92D6D"/>
    <w:rsid w:val="00A9460E"/>
    <w:rsid w:val="00A961D3"/>
    <w:rsid w:val="00A969A8"/>
    <w:rsid w:val="00A9731B"/>
    <w:rsid w:val="00A97397"/>
    <w:rsid w:val="00AA0663"/>
    <w:rsid w:val="00AA0FDB"/>
    <w:rsid w:val="00AA1F69"/>
    <w:rsid w:val="00AA2ABE"/>
    <w:rsid w:val="00AA3ADC"/>
    <w:rsid w:val="00AA50D7"/>
    <w:rsid w:val="00AA566C"/>
    <w:rsid w:val="00AA56F0"/>
    <w:rsid w:val="00AA65B4"/>
    <w:rsid w:val="00AA6E60"/>
    <w:rsid w:val="00AA70AD"/>
    <w:rsid w:val="00AA737D"/>
    <w:rsid w:val="00AA752B"/>
    <w:rsid w:val="00AB057D"/>
    <w:rsid w:val="00AB1130"/>
    <w:rsid w:val="00AB1D35"/>
    <w:rsid w:val="00AB21C3"/>
    <w:rsid w:val="00AB245D"/>
    <w:rsid w:val="00AB3067"/>
    <w:rsid w:val="00AB3624"/>
    <w:rsid w:val="00AB3A9B"/>
    <w:rsid w:val="00AB3CB6"/>
    <w:rsid w:val="00AB4396"/>
    <w:rsid w:val="00AB43CD"/>
    <w:rsid w:val="00AB4F81"/>
    <w:rsid w:val="00AB5633"/>
    <w:rsid w:val="00AB770F"/>
    <w:rsid w:val="00AC0CD4"/>
    <w:rsid w:val="00AC38CF"/>
    <w:rsid w:val="00AC39C1"/>
    <w:rsid w:val="00AC3DFE"/>
    <w:rsid w:val="00AC4990"/>
    <w:rsid w:val="00AC5538"/>
    <w:rsid w:val="00AC769A"/>
    <w:rsid w:val="00AC7E7D"/>
    <w:rsid w:val="00AD1F6E"/>
    <w:rsid w:val="00AD4FD9"/>
    <w:rsid w:val="00AD65BE"/>
    <w:rsid w:val="00AD7344"/>
    <w:rsid w:val="00AE0BF8"/>
    <w:rsid w:val="00AE1E38"/>
    <w:rsid w:val="00AE35AE"/>
    <w:rsid w:val="00AE3F6E"/>
    <w:rsid w:val="00AE4DE4"/>
    <w:rsid w:val="00AE76D2"/>
    <w:rsid w:val="00AF0201"/>
    <w:rsid w:val="00AF06DF"/>
    <w:rsid w:val="00AF0C37"/>
    <w:rsid w:val="00AF13AF"/>
    <w:rsid w:val="00AF2743"/>
    <w:rsid w:val="00AF31A9"/>
    <w:rsid w:val="00AF3947"/>
    <w:rsid w:val="00AF48D9"/>
    <w:rsid w:val="00AF550D"/>
    <w:rsid w:val="00AF7028"/>
    <w:rsid w:val="00AF7BA4"/>
    <w:rsid w:val="00B0007F"/>
    <w:rsid w:val="00B006A3"/>
    <w:rsid w:val="00B02FAC"/>
    <w:rsid w:val="00B04B82"/>
    <w:rsid w:val="00B04D33"/>
    <w:rsid w:val="00B05229"/>
    <w:rsid w:val="00B0664D"/>
    <w:rsid w:val="00B067F6"/>
    <w:rsid w:val="00B069E8"/>
    <w:rsid w:val="00B101B3"/>
    <w:rsid w:val="00B1037D"/>
    <w:rsid w:val="00B12929"/>
    <w:rsid w:val="00B12A23"/>
    <w:rsid w:val="00B13F09"/>
    <w:rsid w:val="00B13F33"/>
    <w:rsid w:val="00B153C9"/>
    <w:rsid w:val="00B159B6"/>
    <w:rsid w:val="00B15A56"/>
    <w:rsid w:val="00B15AA3"/>
    <w:rsid w:val="00B2122D"/>
    <w:rsid w:val="00B21E59"/>
    <w:rsid w:val="00B2249F"/>
    <w:rsid w:val="00B2361B"/>
    <w:rsid w:val="00B256AE"/>
    <w:rsid w:val="00B2649B"/>
    <w:rsid w:val="00B26775"/>
    <w:rsid w:val="00B3085E"/>
    <w:rsid w:val="00B31D3A"/>
    <w:rsid w:val="00B32190"/>
    <w:rsid w:val="00B33FC4"/>
    <w:rsid w:val="00B352D7"/>
    <w:rsid w:val="00B35583"/>
    <w:rsid w:val="00B36850"/>
    <w:rsid w:val="00B36B2A"/>
    <w:rsid w:val="00B36FE6"/>
    <w:rsid w:val="00B40512"/>
    <w:rsid w:val="00B4061F"/>
    <w:rsid w:val="00B41B37"/>
    <w:rsid w:val="00B420B3"/>
    <w:rsid w:val="00B429E8"/>
    <w:rsid w:val="00B432A8"/>
    <w:rsid w:val="00B43319"/>
    <w:rsid w:val="00B44B27"/>
    <w:rsid w:val="00B45672"/>
    <w:rsid w:val="00B46064"/>
    <w:rsid w:val="00B51022"/>
    <w:rsid w:val="00B51391"/>
    <w:rsid w:val="00B5147F"/>
    <w:rsid w:val="00B51D29"/>
    <w:rsid w:val="00B52462"/>
    <w:rsid w:val="00B52579"/>
    <w:rsid w:val="00B52729"/>
    <w:rsid w:val="00B54241"/>
    <w:rsid w:val="00B5462B"/>
    <w:rsid w:val="00B55280"/>
    <w:rsid w:val="00B57953"/>
    <w:rsid w:val="00B61685"/>
    <w:rsid w:val="00B61C61"/>
    <w:rsid w:val="00B61CEF"/>
    <w:rsid w:val="00B62A5B"/>
    <w:rsid w:val="00B63F8E"/>
    <w:rsid w:val="00B64AF4"/>
    <w:rsid w:val="00B64F67"/>
    <w:rsid w:val="00B65FCE"/>
    <w:rsid w:val="00B67015"/>
    <w:rsid w:val="00B67141"/>
    <w:rsid w:val="00B70E24"/>
    <w:rsid w:val="00B71535"/>
    <w:rsid w:val="00B71E5C"/>
    <w:rsid w:val="00B722F4"/>
    <w:rsid w:val="00B726BC"/>
    <w:rsid w:val="00B73925"/>
    <w:rsid w:val="00B74217"/>
    <w:rsid w:val="00B7518B"/>
    <w:rsid w:val="00B75A61"/>
    <w:rsid w:val="00B80AF5"/>
    <w:rsid w:val="00B81D55"/>
    <w:rsid w:val="00B82610"/>
    <w:rsid w:val="00B82C55"/>
    <w:rsid w:val="00B830A4"/>
    <w:rsid w:val="00B8645E"/>
    <w:rsid w:val="00B86828"/>
    <w:rsid w:val="00B877F4"/>
    <w:rsid w:val="00B87A3B"/>
    <w:rsid w:val="00B92EA4"/>
    <w:rsid w:val="00B93C29"/>
    <w:rsid w:val="00B93FC9"/>
    <w:rsid w:val="00B94091"/>
    <w:rsid w:val="00B944EC"/>
    <w:rsid w:val="00B954BC"/>
    <w:rsid w:val="00B9565E"/>
    <w:rsid w:val="00B9591C"/>
    <w:rsid w:val="00BA0AE2"/>
    <w:rsid w:val="00BA226B"/>
    <w:rsid w:val="00BA28A7"/>
    <w:rsid w:val="00BA2FFF"/>
    <w:rsid w:val="00BA3172"/>
    <w:rsid w:val="00BA5D68"/>
    <w:rsid w:val="00BA7AEC"/>
    <w:rsid w:val="00BB022B"/>
    <w:rsid w:val="00BB0C5A"/>
    <w:rsid w:val="00BB0C6D"/>
    <w:rsid w:val="00BB2A46"/>
    <w:rsid w:val="00BB461F"/>
    <w:rsid w:val="00BB511C"/>
    <w:rsid w:val="00BB5154"/>
    <w:rsid w:val="00BB5AC2"/>
    <w:rsid w:val="00BB6494"/>
    <w:rsid w:val="00BB7369"/>
    <w:rsid w:val="00BC0459"/>
    <w:rsid w:val="00BC089D"/>
    <w:rsid w:val="00BC291A"/>
    <w:rsid w:val="00BC3672"/>
    <w:rsid w:val="00BC4586"/>
    <w:rsid w:val="00BC4664"/>
    <w:rsid w:val="00BC5C0C"/>
    <w:rsid w:val="00BC6AB1"/>
    <w:rsid w:val="00BC6AC8"/>
    <w:rsid w:val="00BD0BF0"/>
    <w:rsid w:val="00BD12AB"/>
    <w:rsid w:val="00BD1B21"/>
    <w:rsid w:val="00BD2F44"/>
    <w:rsid w:val="00BD36E2"/>
    <w:rsid w:val="00BD450C"/>
    <w:rsid w:val="00BD4978"/>
    <w:rsid w:val="00BD5CA9"/>
    <w:rsid w:val="00BD6279"/>
    <w:rsid w:val="00BD7C76"/>
    <w:rsid w:val="00BD7DBC"/>
    <w:rsid w:val="00BE023C"/>
    <w:rsid w:val="00BE10DE"/>
    <w:rsid w:val="00BE189E"/>
    <w:rsid w:val="00BE41BB"/>
    <w:rsid w:val="00BE52AE"/>
    <w:rsid w:val="00BE6B93"/>
    <w:rsid w:val="00BE77CD"/>
    <w:rsid w:val="00BF0CA3"/>
    <w:rsid w:val="00BF3CDE"/>
    <w:rsid w:val="00BF4ADD"/>
    <w:rsid w:val="00BF52F5"/>
    <w:rsid w:val="00BF6016"/>
    <w:rsid w:val="00C0048C"/>
    <w:rsid w:val="00C00D73"/>
    <w:rsid w:val="00C01371"/>
    <w:rsid w:val="00C0164D"/>
    <w:rsid w:val="00C029F2"/>
    <w:rsid w:val="00C03088"/>
    <w:rsid w:val="00C039D2"/>
    <w:rsid w:val="00C03C38"/>
    <w:rsid w:val="00C04047"/>
    <w:rsid w:val="00C04553"/>
    <w:rsid w:val="00C048ED"/>
    <w:rsid w:val="00C049CC"/>
    <w:rsid w:val="00C054FB"/>
    <w:rsid w:val="00C05998"/>
    <w:rsid w:val="00C059E0"/>
    <w:rsid w:val="00C101DC"/>
    <w:rsid w:val="00C10267"/>
    <w:rsid w:val="00C106B8"/>
    <w:rsid w:val="00C113CC"/>
    <w:rsid w:val="00C125A3"/>
    <w:rsid w:val="00C12C2F"/>
    <w:rsid w:val="00C132E2"/>
    <w:rsid w:val="00C15FAF"/>
    <w:rsid w:val="00C161F8"/>
    <w:rsid w:val="00C173CB"/>
    <w:rsid w:val="00C20FEF"/>
    <w:rsid w:val="00C22DD3"/>
    <w:rsid w:val="00C23BEC"/>
    <w:rsid w:val="00C248DA"/>
    <w:rsid w:val="00C252DB"/>
    <w:rsid w:val="00C25BA2"/>
    <w:rsid w:val="00C2618E"/>
    <w:rsid w:val="00C276F3"/>
    <w:rsid w:val="00C3020E"/>
    <w:rsid w:val="00C31765"/>
    <w:rsid w:val="00C34058"/>
    <w:rsid w:val="00C359E1"/>
    <w:rsid w:val="00C3700C"/>
    <w:rsid w:val="00C37985"/>
    <w:rsid w:val="00C400D2"/>
    <w:rsid w:val="00C40A8D"/>
    <w:rsid w:val="00C4132C"/>
    <w:rsid w:val="00C41B8B"/>
    <w:rsid w:val="00C44399"/>
    <w:rsid w:val="00C463F5"/>
    <w:rsid w:val="00C47396"/>
    <w:rsid w:val="00C514B6"/>
    <w:rsid w:val="00C5194E"/>
    <w:rsid w:val="00C51C3B"/>
    <w:rsid w:val="00C52A8C"/>
    <w:rsid w:val="00C530F6"/>
    <w:rsid w:val="00C53CCF"/>
    <w:rsid w:val="00C54E70"/>
    <w:rsid w:val="00C55745"/>
    <w:rsid w:val="00C55AC0"/>
    <w:rsid w:val="00C563B1"/>
    <w:rsid w:val="00C5750F"/>
    <w:rsid w:val="00C65910"/>
    <w:rsid w:val="00C66826"/>
    <w:rsid w:val="00C67762"/>
    <w:rsid w:val="00C71C8A"/>
    <w:rsid w:val="00C72351"/>
    <w:rsid w:val="00C72B2B"/>
    <w:rsid w:val="00C75D1D"/>
    <w:rsid w:val="00C75DFA"/>
    <w:rsid w:val="00C766C4"/>
    <w:rsid w:val="00C7742A"/>
    <w:rsid w:val="00C807D5"/>
    <w:rsid w:val="00C80F08"/>
    <w:rsid w:val="00C8128A"/>
    <w:rsid w:val="00C81DD1"/>
    <w:rsid w:val="00C83AA9"/>
    <w:rsid w:val="00C83C6E"/>
    <w:rsid w:val="00C84158"/>
    <w:rsid w:val="00C8463E"/>
    <w:rsid w:val="00C87122"/>
    <w:rsid w:val="00C87BDA"/>
    <w:rsid w:val="00C87C19"/>
    <w:rsid w:val="00C87D51"/>
    <w:rsid w:val="00C9048C"/>
    <w:rsid w:val="00C911B7"/>
    <w:rsid w:val="00C9140A"/>
    <w:rsid w:val="00C9166B"/>
    <w:rsid w:val="00C91D53"/>
    <w:rsid w:val="00C92AC8"/>
    <w:rsid w:val="00C94697"/>
    <w:rsid w:val="00C9623C"/>
    <w:rsid w:val="00C963C0"/>
    <w:rsid w:val="00C97729"/>
    <w:rsid w:val="00CA0A21"/>
    <w:rsid w:val="00CA0B2F"/>
    <w:rsid w:val="00CA0FF7"/>
    <w:rsid w:val="00CA1610"/>
    <w:rsid w:val="00CA24CC"/>
    <w:rsid w:val="00CA2A6F"/>
    <w:rsid w:val="00CA57BC"/>
    <w:rsid w:val="00CA5AF5"/>
    <w:rsid w:val="00CA6235"/>
    <w:rsid w:val="00CA6372"/>
    <w:rsid w:val="00CA6B20"/>
    <w:rsid w:val="00CA7BDE"/>
    <w:rsid w:val="00CB00E8"/>
    <w:rsid w:val="00CB2268"/>
    <w:rsid w:val="00CB2913"/>
    <w:rsid w:val="00CB2B8A"/>
    <w:rsid w:val="00CB31EF"/>
    <w:rsid w:val="00CB3769"/>
    <w:rsid w:val="00CB3C5A"/>
    <w:rsid w:val="00CB4550"/>
    <w:rsid w:val="00CB4FE3"/>
    <w:rsid w:val="00CB6D55"/>
    <w:rsid w:val="00CB6DA5"/>
    <w:rsid w:val="00CB7A04"/>
    <w:rsid w:val="00CC2A5E"/>
    <w:rsid w:val="00CC3ADC"/>
    <w:rsid w:val="00CC3F14"/>
    <w:rsid w:val="00CC67B6"/>
    <w:rsid w:val="00CC6B6C"/>
    <w:rsid w:val="00CC7195"/>
    <w:rsid w:val="00CD0AF0"/>
    <w:rsid w:val="00CD0FEF"/>
    <w:rsid w:val="00CD15AC"/>
    <w:rsid w:val="00CD1BA9"/>
    <w:rsid w:val="00CD5373"/>
    <w:rsid w:val="00CD5993"/>
    <w:rsid w:val="00CD68C0"/>
    <w:rsid w:val="00CD6C6E"/>
    <w:rsid w:val="00CD7D4F"/>
    <w:rsid w:val="00CD7E88"/>
    <w:rsid w:val="00CE06C7"/>
    <w:rsid w:val="00CE14B9"/>
    <w:rsid w:val="00CE1AD7"/>
    <w:rsid w:val="00CE27FD"/>
    <w:rsid w:val="00CE2BAC"/>
    <w:rsid w:val="00CE446F"/>
    <w:rsid w:val="00CE4AF1"/>
    <w:rsid w:val="00CE5387"/>
    <w:rsid w:val="00CE5D6A"/>
    <w:rsid w:val="00CE61C2"/>
    <w:rsid w:val="00CE717F"/>
    <w:rsid w:val="00CF061F"/>
    <w:rsid w:val="00CF16EE"/>
    <w:rsid w:val="00CF20F5"/>
    <w:rsid w:val="00CF3073"/>
    <w:rsid w:val="00CF308E"/>
    <w:rsid w:val="00CF3E2F"/>
    <w:rsid w:val="00CF614B"/>
    <w:rsid w:val="00CF6507"/>
    <w:rsid w:val="00D0081C"/>
    <w:rsid w:val="00D00C3F"/>
    <w:rsid w:val="00D011B4"/>
    <w:rsid w:val="00D0177D"/>
    <w:rsid w:val="00D04D67"/>
    <w:rsid w:val="00D05F57"/>
    <w:rsid w:val="00D06B76"/>
    <w:rsid w:val="00D07836"/>
    <w:rsid w:val="00D07C50"/>
    <w:rsid w:val="00D101DF"/>
    <w:rsid w:val="00D12634"/>
    <w:rsid w:val="00D12F32"/>
    <w:rsid w:val="00D12F89"/>
    <w:rsid w:val="00D13CC0"/>
    <w:rsid w:val="00D1416E"/>
    <w:rsid w:val="00D14F83"/>
    <w:rsid w:val="00D15732"/>
    <w:rsid w:val="00D204A9"/>
    <w:rsid w:val="00D20FEF"/>
    <w:rsid w:val="00D21320"/>
    <w:rsid w:val="00D21438"/>
    <w:rsid w:val="00D21753"/>
    <w:rsid w:val="00D23C3F"/>
    <w:rsid w:val="00D23EC7"/>
    <w:rsid w:val="00D23F92"/>
    <w:rsid w:val="00D241DC"/>
    <w:rsid w:val="00D25336"/>
    <w:rsid w:val="00D258D4"/>
    <w:rsid w:val="00D26717"/>
    <w:rsid w:val="00D27556"/>
    <w:rsid w:val="00D32AF9"/>
    <w:rsid w:val="00D32C0B"/>
    <w:rsid w:val="00D344BE"/>
    <w:rsid w:val="00D37B6A"/>
    <w:rsid w:val="00D37CA0"/>
    <w:rsid w:val="00D40E0E"/>
    <w:rsid w:val="00D41640"/>
    <w:rsid w:val="00D424F8"/>
    <w:rsid w:val="00D42AA3"/>
    <w:rsid w:val="00D42BB4"/>
    <w:rsid w:val="00D42C4C"/>
    <w:rsid w:val="00D43B1A"/>
    <w:rsid w:val="00D44635"/>
    <w:rsid w:val="00D44DA3"/>
    <w:rsid w:val="00D45586"/>
    <w:rsid w:val="00D4589A"/>
    <w:rsid w:val="00D45C17"/>
    <w:rsid w:val="00D46D6D"/>
    <w:rsid w:val="00D5029A"/>
    <w:rsid w:val="00D50BA7"/>
    <w:rsid w:val="00D50D5D"/>
    <w:rsid w:val="00D5158A"/>
    <w:rsid w:val="00D516A0"/>
    <w:rsid w:val="00D52354"/>
    <w:rsid w:val="00D5491D"/>
    <w:rsid w:val="00D54E0B"/>
    <w:rsid w:val="00D558DC"/>
    <w:rsid w:val="00D55906"/>
    <w:rsid w:val="00D5639A"/>
    <w:rsid w:val="00D57224"/>
    <w:rsid w:val="00D62B6D"/>
    <w:rsid w:val="00D62BEF"/>
    <w:rsid w:val="00D6348B"/>
    <w:rsid w:val="00D64BE7"/>
    <w:rsid w:val="00D64E8F"/>
    <w:rsid w:val="00D652D2"/>
    <w:rsid w:val="00D667D3"/>
    <w:rsid w:val="00D6786B"/>
    <w:rsid w:val="00D67FDA"/>
    <w:rsid w:val="00D71D5C"/>
    <w:rsid w:val="00D72649"/>
    <w:rsid w:val="00D72A00"/>
    <w:rsid w:val="00D741F2"/>
    <w:rsid w:val="00D7455D"/>
    <w:rsid w:val="00D75013"/>
    <w:rsid w:val="00D756EB"/>
    <w:rsid w:val="00D757B4"/>
    <w:rsid w:val="00D767FA"/>
    <w:rsid w:val="00D77BC8"/>
    <w:rsid w:val="00D803A1"/>
    <w:rsid w:val="00D823B9"/>
    <w:rsid w:val="00D82CE1"/>
    <w:rsid w:val="00D82E7E"/>
    <w:rsid w:val="00D83131"/>
    <w:rsid w:val="00D83242"/>
    <w:rsid w:val="00D835E8"/>
    <w:rsid w:val="00D8399D"/>
    <w:rsid w:val="00D850B3"/>
    <w:rsid w:val="00D85238"/>
    <w:rsid w:val="00D85D16"/>
    <w:rsid w:val="00D86A13"/>
    <w:rsid w:val="00D911BF"/>
    <w:rsid w:val="00D93B05"/>
    <w:rsid w:val="00D95AFF"/>
    <w:rsid w:val="00D967C3"/>
    <w:rsid w:val="00D96A54"/>
    <w:rsid w:val="00D978A8"/>
    <w:rsid w:val="00D97AA3"/>
    <w:rsid w:val="00DA074F"/>
    <w:rsid w:val="00DA091D"/>
    <w:rsid w:val="00DA18E1"/>
    <w:rsid w:val="00DA20FF"/>
    <w:rsid w:val="00DA36BB"/>
    <w:rsid w:val="00DA453E"/>
    <w:rsid w:val="00DA6479"/>
    <w:rsid w:val="00DA6587"/>
    <w:rsid w:val="00DA6B04"/>
    <w:rsid w:val="00DA7397"/>
    <w:rsid w:val="00DB0C77"/>
    <w:rsid w:val="00DB11FB"/>
    <w:rsid w:val="00DB21D7"/>
    <w:rsid w:val="00DB3294"/>
    <w:rsid w:val="00DB350B"/>
    <w:rsid w:val="00DB4DC0"/>
    <w:rsid w:val="00DB67B7"/>
    <w:rsid w:val="00DB682F"/>
    <w:rsid w:val="00DB7071"/>
    <w:rsid w:val="00DB7C05"/>
    <w:rsid w:val="00DB7F5F"/>
    <w:rsid w:val="00DC159B"/>
    <w:rsid w:val="00DC1F6E"/>
    <w:rsid w:val="00DC23EB"/>
    <w:rsid w:val="00DC2881"/>
    <w:rsid w:val="00DC3D20"/>
    <w:rsid w:val="00DC3E90"/>
    <w:rsid w:val="00DC4ACB"/>
    <w:rsid w:val="00DC4BD2"/>
    <w:rsid w:val="00DC7E95"/>
    <w:rsid w:val="00DD2591"/>
    <w:rsid w:val="00DD40EE"/>
    <w:rsid w:val="00DD53B6"/>
    <w:rsid w:val="00DD6153"/>
    <w:rsid w:val="00DD61AC"/>
    <w:rsid w:val="00DD642C"/>
    <w:rsid w:val="00DD77E9"/>
    <w:rsid w:val="00DE203C"/>
    <w:rsid w:val="00DE2D03"/>
    <w:rsid w:val="00DE4D1B"/>
    <w:rsid w:val="00DE5172"/>
    <w:rsid w:val="00DE5F46"/>
    <w:rsid w:val="00DE6095"/>
    <w:rsid w:val="00DE711E"/>
    <w:rsid w:val="00DE7FF2"/>
    <w:rsid w:val="00DF05DB"/>
    <w:rsid w:val="00DF0A33"/>
    <w:rsid w:val="00DF27DB"/>
    <w:rsid w:val="00DF2AAC"/>
    <w:rsid w:val="00DF3462"/>
    <w:rsid w:val="00DF40A6"/>
    <w:rsid w:val="00DF45E5"/>
    <w:rsid w:val="00DF4646"/>
    <w:rsid w:val="00DF5709"/>
    <w:rsid w:val="00DF5978"/>
    <w:rsid w:val="00E02572"/>
    <w:rsid w:val="00E03925"/>
    <w:rsid w:val="00E0413F"/>
    <w:rsid w:val="00E044D0"/>
    <w:rsid w:val="00E04ED8"/>
    <w:rsid w:val="00E050D2"/>
    <w:rsid w:val="00E064FD"/>
    <w:rsid w:val="00E06806"/>
    <w:rsid w:val="00E06984"/>
    <w:rsid w:val="00E0716D"/>
    <w:rsid w:val="00E0794A"/>
    <w:rsid w:val="00E07E26"/>
    <w:rsid w:val="00E1017D"/>
    <w:rsid w:val="00E107D8"/>
    <w:rsid w:val="00E108C3"/>
    <w:rsid w:val="00E1322F"/>
    <w:rsid w:val="00E13E64"/>
    <w:rsid w:val="00E14E33"/>
    <w:rsid w:val="00E15062"/>
    <w:rsid w:val="00E156E7"/>
    <w:rsid w:val="00E15893"/>
    <w:rsid w:val="00E16178"/>
    <w:rsid w:val="00E162EB"/>
    <w:rsid w:val="00E163AE"/>
    <w:rsid w:val="00E177E4"/>
    <w:rsid w:val="00E20EDA"/>
    <w:rsid w:val="00E22D4B"/>
    <w:rsid w:val="00E248C5"/>
    <w:rsid w:val="00E25954"/>
    <w:rsid w:val="00E259E0"/>
    <w:rsid w:val="00E25CB8"/>
    <w:rsid w:val="00E26F64"/>
    <w:rsid w:val="00E27E6D"/>
    <w:rsid w:val="00E3118F"/>
    <w:rsid w:val="00E3205E"/>
    <w:rsid w:val="00E33BDF"/>
    <w:rsid w:val="00E34AF7"/>
    <w:rsid w:val="00E36673"/>
    <w:rsid w:val="00E36FF9"/>
    <w:rsid w:val="00E411F2"/>
    <w:rsid w:val="00E41B23"/>
    <w:rsid w:val="00E4227B"/>
    <w:rsid w:val="00E43352"/>
    <w:rsid w:val="00E441AF"/>
    <w:rsid w:val="00E448E6"/>
    <w:rsid w:val="00E44CF6"/>
    <w:rsid w:val="00E47A3C"/>
    <w:rsid w:val="00E51002"/>
    <w:rsid w:val="00E51061"/>
    <w:rsid w:val="00E5242C"/>
    <w:rsid w:val="00E5360A"/>
    <w:rsid w:val="00E54357"/>
    <w:rsid w:val="00E545A8"/>
    <w:rsid w:val="00E5517E"/>
    <w:rsid w:val="00E5720C"/>
    <w:rsid w:val="00E5789B"/>
    <w:rsid w:val="00E5794D"/>
    <w:rsid w:val="00E57C04"/>
    <w:rsid w:val="00E619E5"/>
    <w:rsid w:val="00E653A2"/>
    <w:rsid w:val="00E668AB"/>
    <w:rsid w:val="00E706A4"/>
    <w:rsid w:val="00E72B30"/>
    <w:rsid w:val="00E74290"/>
    <w:rsid w:val="00E74389"/>
    <w:rsid w:val="00E74F4A"/>
    <w:rsid w:val="00E76373"/>
    <w:rsid w:val="00E77FE8"/>
    <w:rsid w:val="00E8210F"/>
    <w:rsid w:val="00E839C4"/>
    <w:rsid w:val="00E841BF"/>
    <w:rsid w:val="00E859BB"/>
    <w:rsid w:val="00E86E7B"/>
    <w:rsid w:val="00E87A72"/>
    <w:rsid w:val="00E87B79"/>
    <w:rsid w:val="00E9048F"/>
    <w:rsid w:val="00E910E2"/>
    <w:rsid w:val="00E91182"/>
    <w:rsid w:val="00E912EF"/>
    <w:rsid w:val="00E92B2F"/>
    <w:rsid w:val="00E92C84"/>
    <w:rsid w:val="00E93FA1"/>
    <w:rsid w:val="00E957A2"/>
    <w:rsid w:val="00E97569"/>
    <w:rsid w:val="00EA087C"/>
    <w:rsid w:val="00EA1FAE"/>
    <w:rsid w:val="00EA2D92"/>
    <w:rsid w:val="00EA3B0D"/>
    <w:rsid w:val="00EA453D"/>
    <w:rsid w:val="00EA594D"/>
    <w:rsid w:val="00EA5D50"/>
    <w:rsid w:val="00EA662D"/>
    <w:rsid w:val="00EA683C"/>
    <w:rsid w:val="00EA72E5"/>
    <w:rsid w:val="00EA774E"/>
    <w:rsid w:val="00EA786C"/>
    <w:rsid w:val="00EA7FE1"/>
    <w:rsid w:val="00EB0828"/>
    <w:rsid w:val="00EB127E"/>
    <w:rsid w:val="00EB13D2"/>
    <w:rsid w:val="00EB330B"/>
    <w:rsid w:val="00EB33F4"/>
    <w:rsid w:val="00EB5B82"/>
    <w:rsid w:val="00EB6182"/>
    <w:rsid w:val="00EB664E"/>
    <w:rsid w:val="00EB7333"/>
    <w:rsid w:val="00EC006B"/>
    <w:rsid w:val="00EC1A33"/>
    <w:rsid w:val="00EC2AEB"/>
    <w:rsid w:val="00EC44F0"/>
    <w:rsid w:val="00EC4AFB"/>
    <w:rsid w:val="00EC54F7"/>
    <w:rsid w:val="00EC5705"/>
    <w:rsid w:val="00EC5BBA"/>
    <w:rsid w:val="00EC62DE"/>
    <w:rsid w:val="00EC6592"/>
    <w:rsid w:val="00EC67B7"/>
    <w:rsid w:val="00EC7068"/>
    <w:rsid w:val="00EC7D15"/>
    <w:rsid w:val="00EC7D2C"/>
    <w:rsid w:val="00EC7F22"/>
    <w:rsid w:val="00ED05AA"/>
    <w:rsid w:val="00ED0B8D"/>
    <w:rsid w:val="00ED10DC"/>
    <w:rsid w:val="00ED1242"/>
    <w:rsid w:val="00ED17A5"/>
    <w:rsid w:val="00ED2224"/>
    <w:rsid w:val="00ED2400"/>
    <w:rsid w:val="00ED2D16"/>
    <w:rsid w:val="00ED2ED4"/>
    <w:rsid w:val="00ED3E46"/>
    <w:rsid w:val="00ED4051"/>
    <w:rsid w:val="00EE1B90"/>
    <w:rsid w:val="00EE22A7"/>
    <w:rsid w:val="00EE39C4"/>
    <w:rsid w:val="00EE470A"/>
    <w:rsid w:val="00EE47EA"/>
    <w:rsid w:val="00EE4F16"/>
    <w:rsid w:val="00EE6504"/>
    <w:rsid w:val="00EE7124"/>
    <w:rsid w:val="00EF0470"/>
    <w:rsid w:val="00EF0522"/>
    <w:rsid w:val="00EF0871"/>
    <w:rsid w:val="00EF364F"/>
    <w:rsid w:val="00EF5A8A"/>
    <w:rsid w:val="00EF6322"/>
    <w:rsid w:val="00EF6BFC"/>
    <w:rsid w:val="00EF7397"/>
    <w:rsid w:val="00F0008D"/>
    <w:rsid w:val="00F00AEC"/>
    <w:rsid w:val="00F00E75"/>
    <w:rsid w:val="00F01328"/>
    <w:rsid w:val="00F02B4D"/>
    <w:rsid w:val="00F04F85"/>
    <w:rsid w:val="00F070A4"/>
    <w:rsid w:val="00F07C59"/>
    <w:rsid w:val="00F1068C"/>
    <w:rsid w:val="00F11840"/>
    <w:rsid w:val="00F11A12"/>
    <w:rsid w:val="00F11F88"/>
    <w:rsid w:val="00F1300D"/>
    <w:rsid w:val="00F13BA9"/>
    <w:rsid w:val="00F146A6"/>
    <w:rsid w:val="00F14CD2"/>
    <w:rsid w:val="00F1508D"/>
    <w:rsid w:val="00F164E7"/>
    <w:rsid w:val="00F16C0F"/>
    <w:rsid w:val="00F17C63"/>
    <w:rsid w:val="00F20BD7"/>
    <w:rsid w:val="00F21DA2"/>
    <w:rsid w:val="00F21F65"/>
    <w:rsid w:val="00F227B8"/>
    <w:rsid w:val="00F254C7"/>
    <w:rsid w:val="00F27BE1"/>
    <w:rsid w:val="00F30EC9"/>
    <w:rsid w:val="00F3312B"/>
    <w:rsid w:val="00F337A9"/>
    <w:rsid w:val="00F33AFF"/>
    <w:rsid w:val="00F346FF"/>
    <w:rsid w:val="00F34E81"/>
    <w:rsid w:val="00F35542"/>
    <w:rsid w:val="00F35E11"/>
    <w:rsid w:val="00F35FBB"/>
    <w:rsid w:val="00F36C06"/>
    <w:rsid w:val="00F3744A"/>
    <w:rsid w:val="00F40CC0"/>
    <w:rsid w:val="00F413DE"/>
    <w:rsid w:val="00F428E4"/>
    <w:rsid w:val="00F42CB3"/>
    <w:rsid w:val="00F439AF"/>
    <w:rsid w:val="00F43F54"/>
    <w:rsid w:val="00F4480D"/>
    <w:rsid w:val="00F45905"/>
    <w:rsid w:val="00F46130"/>
    <w:rsid w:val="00F46638"/>
    <w:rsid w:val="00F4666D"/>
    <w:rsid w:val="00F47F1A"/>
    <w:rsid w:val="00F508FB"/>
    <w:rsid w:val="00F51609"/>
    <w:rsid w:val="00F52433"/>
    <w:rsid w:val="00F5337B"/>
    <w:rsid w:val="00F5491C"/>
    <w:rsid w:val="00F563EA"/>
    <w:rsid w:val="00F576E4"/>
    <w:rsid w:val="00F620F9"/>
    <w:rsid w:val="00F632FA"/>
    <w:rsid w:val="00F6367A"/>
    <w:rsid w:val="00F63AFA"/>
    <w:rsid w:val="00F63C29"/>
    <w:rsid w:val="00F63E92"/>
    <w:rsid w:val="00F67007"/>
    <w:rsid w:val="00F67624"/>
    <w:rsid w:val="00F70688"/>
    <w:rsid w:val="00F70776"/>
    <w:rsid w:val="00F70D47"/>
    <w:rsid w:val="00F70D71"/>
    <w:rsid w:val="00F715F1"/>
    <w:rsid w:val="00F71EDB"/>
    <w:rsid w:val="00F722F5"/>
    <w:rsid w:val="00F74924"/>
    <w:rsid w:val="00F75F7A"/>
    <w:rsid w:val="00F768B3"/>
    <w:rsid w:val="00F769EF"/>
    <w:rsid w:val="00F76D4F"/>
    <w:rsid w:val="00F77E39"/>
    <w:rsid w:val="00F8019C"/>
    <w:rsid w:val="00F801DD"/>
    <w:rsid w:val="00F8034B"/>
    <w:rsid w:val="00F8199C"/>
    <w:rsid w:val="00F81DC6"/>
    <w:rsid w:val="00F82939"/>
    <w:rsid w:val="00F82F09"/>
    <w:rsid w:val="00F8322C"/>
    <w:rsid w:val="00F83A12"/>
    <w:rsid w:val="00F90E32"/>
    <w:rsid w:val="00F90EF1"/>
    <w:rsid w:val="00F910B1"/>
    <w:rsid w:val="00F91181"/>
    <w:rsid w:val="00F91A09"/>
    <w:rsid w:val="00F931A8"/>
    <w:rsid w:val="00F932C7"/>
    <w:rsid w:val="00F933A8"/>
    <w:rsid w:val="00F97C32"/>
    <w:rsid w:val="00F97EDF"/>
    <w:rsid w:val="00FA0314"/>
    <w:rsid w:val="00FA1D24"/>
    <w:rsid w:val="00FA1F3B"/>
    <w:rsid w:val="00FA60C0"/>
    <w:rsid w:val="00FA7C31"/>
    <w:rsid w:val="00FA7D8E"/>
    <w:rsid w:val="00FA7D90"/>
    <w:rsid w:val="00FB1C7B"/>
    <w:rsid w:val="00FB1F45"/>
    <w:rsid w:val="00FB35C8"/>
    <w:rsid w:val="00FB389F"/>
    <w:rsid w:val="00FB4772"/>
    <w:rsid w:val="00FC007D"/>
    <w:rsid w:val="00FC0931"/>
    <w:rsid w:val="00FC154E"/>
    <w:rsid w:val="00FC35DF"/>
    <w:rsid w:val="00FC503D"/>
    <w:rsid w:val="00FC5960"/>
    <w:rsid w:val="00FC62CF"/>
    <w:rsid w:val="00FC7A3D"/>
    <w:rsid w:val="00FC7AF1"/>
    <w:rsid w:val="00FC7FD2"/>
    <w:rsid w:val="00FD0CF1"/>
    <w:rsid w:val="00FD10BE"/>
    <w:rsid w:val="00FD13B6"/>
    <w:rsid w:val="00FD1DD9"/>
    <w:rsid w:val="00FD1F1A"/>
    <w:rsid w:val="00FD3226"/>
    <w:rsid w:val="00FD3409"/>
    <w:rsid w:val="00FD3A10"/>
    <w:rsid w:val="00FD4BA2"/>
    <w:rsid w:val="00FD67EF"/>
    <w:rsid w:val="00FD6C16"/>
    <w:rsid w:val="00FD6F45"/>
    <w:rsid w:val="00FD72C7"/>
    <w:rsid w:val="00FD783E"/>
    <w:rsid w:val="00FD7BBE"/>
    <w:rsid w:val="00FE0894"/>
    <w:rsid w:val="00FE0F8F"/>
    <w:rsid w:val="00FE2695"/>
    <w:rsid w:val="00FE2872"/>
    <w:rsid w:val="00FE48D2"/>
    <w:rsid w:val="00FE4FB9"/>
    <w:rsid w:val="00FE6751"/>
    <w:rsid w:val="00FE78CF"/>
    <w:rsid w:val="00FE7FA5"/>
    <w:rsid w:val="00FF074B"/>
    <w:rsid w:val="00FF117A"/>
    <w:rsid w:val="00FF4159"/>
    <w:rsid w:val="00FF4678"/>
    <w:rsid w:val="00FF469A"/>
    <w:rsid w:val="00FF49D8"/>
    <w:rsid w:val="00FF5013"/>
    <w:rsid w:val="00FF567B"/>
    <w:rsid w:val="00FF6B40"/>
    <w:rsid w:val="00FF7294"/>
    <w:rsid w:val="00FF79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1A703"/>
  <w15:chartTrackingRefBased/>
  <w15:docId w15:val="{CD5CC515-53BA-42C6-87E7-12626517C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6CCE"/>
    <w:pPr>
      <w:spacing w:after="160" w:line="259" w:lineRule="auto"/>
    </w:pPr>
    <w:rPr>
      <w:rFonts w:ascii="Calibri" w:eastAsia="Calibri" w:hAnsi="Calibri" w:cs="Calibri"/>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6CCE"/>
    <w:pPr>
      <w:ind w:left="720"/>
      <w:contextualSpacing/>
    </w:pPr>
  </w:style>
  <w:style w:type="paragraph" w:styleId="Header">
    <w:name w:val="header"/>
    <w:basedOn w:val="Normal"/>
    <w:link w:val="HeaderChar"/>
    <w:uiPriority w:val="99"/>
    <w:unhideWhenUsed/>
    <w:rsid w:val="00206C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6CCE"/>
    <w:rPr>
      <w:rFonts w:ascii="Calibri" w:eastAsia="Calibri" w:hAnsi="Calibri" w:cs="Calibri"/>
      <w:color w:val="000000"/>
      <w:lang w:eastAsia="en-GB"/>
    </w:rPr>
  </w:style>
  <w:style w:type="paragraph" w:styleId="Footer">
    <w:name w:val="footer"/>
    <w:basedOn w:val="Normal"/>
    <w:link w:val="FooterChar"/>
    <w:uiPriority w:val="99"/>
    <w:unhideWhenUsed/>
    <w:rsid w:val="00206C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6CCE"/>
    <w:rPr>
      <w:rFonts w:ascii="Calibri" w:eastAsia="Calibri" w:hAnsi="Calibri" w:cs="Calibri"/>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mc-uk.org/education/how-we-quality-assure/postgraduate-bodies/enhanced-monito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00C5-F078-4E38-85BD-B188EDBE7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2056</Words>
  <Characters>11720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Stewart</dc:creator>
  <cp:keywords/>
  <dc:description/>
  <cp:lastModifiedBy>Hazel Stewart</cp:lastModifiedBy>
  <cp:revision>1</cp:revision>
  <dcterms:created xsi:type="dcterms:W3CDTF">2018-11-13T16:06:00Z</dcterms:created>
  <dcterms:modified xsi:type="dcterms:W3CDTF">2018-11-13T16:17:00Z</dcterms:modified>
</cp:coreProperties>
</file>